
<file path=[Content_Types].xml><?xml version="1.0" encoding="utf-8"?>
<Types xmlns="http://schemas.openxmlformats.org/package/2006/content-types">
  <Default Extension="jpeg" ContentType="image/jpe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15="http://schemas.microsoft.com/office/word/2012/wordml" xmlns:wpi="http://schemas.microsoft.com/office/word/2010/wordprocessingInk" xmlns:w16cid="http://schemas.microsoft.com/office/word/2016/wordml/cid" xmlns:am3d="http://schemas.microsoft.com/office/drawing/2017/model3d" xmlns:w16se="http://schemas.microsoft.com/office/word/2015/wordml/symex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mc:Ignorable="w14 wp14 w15">
  <w:background w:color="FFFFFF"/>
  <w:body>
    <w:p>
      <w:pPr>
        <w:jc w:val="right"/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40"/>
          <w:szCs w:val="40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40"/>
          <w:szCs w:val="40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center"/>
        <w:spacing w:lineRule="auto" w:line="275"/>
        <w:ind w:right="64" w:firstLine="0"/>
        <w:rPr>
          <w:b w:val="1"/>
          <w:sz w:val="72"/>
          <w:szCs w:val="72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72"/>
          <w:szCs w:val="72"/>
          <w:shd w:val="clear" w:color="auto" w:fill="auto"/>
          <w:rFonts w:ascii="Times New Roman" w:eastAsia="Times New Roman" w:hAnsi="Times New Roman" w:cs="Times New Roman"/>
        </w:rPr>
        <w:t xml:space="preserve">Request for Proposal (RFP)</w:t>
      </w:r>
    </w:p>
    <w:p>
      <w:pPr>
        <w:spacing w:lineRule="auto" w:line="275"/>
        <w:rPr>
          <w:sz w:val="96"/>
          <w:szCs w:val="96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48"/>
          <w:szCs w:val="48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rPr>
          <w:b w:val="1"/>
          <w:sz w:val="48"/>
          <w:szCs w:val="48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48"/>
          <w:szCs w:val="48"/>
          <w:shd w:val="clear" w:color="auto" w:fill="auto"/>
          <w:rFonts w:ascii="Times New Roman" w:eastAsia="Times New Roman" w:hAnsi="Times New Roman" w:cs="Times New Roman"/>
        </w:rPr>
        <w:t xml:space="preserve">For Appointment of Statutory Auditor for </w:t>
      </w:r>
      <w:r>
        <w:rPr>
          <w:b w:val="1"/>
          <w:sz w:val="48"/>
          <w:szCs w:val="48"/>
          <w:shd w:val="clear" w:color="auto" w:fill="auto"/>
          <w:rFonts w:ascii="Times New Roman" w:eastAsia="Times New Roman" w:hAnsi="Times New Roman" w:cs="Times New Roman"/>
        </w:rPr>
        <w:t xml:space="preserve">State Health Society (SHS) and District Health </w:t>
      </w:r>
      <w:r>
        <w:rPr>
          <w:b w:val="1"/>
          <w:sz w:val="48"/>
          <w:szCs w:val="48"/>
          <w:shd w:val="clear" w:color="auto" w:fill="auto"/>
          <w:rFonts w:ascii="Times New Roman" w:eastAsia="Times New Roman" w:hAnsi="Times New Roman" w:cs="Times New Roman"/>
        </w:rPr>
        <w:t xml:space="preserve">Society (DHS) for Audit of all programmes </w:t>
      </w:r>
      <w:r>
        <w:rPr>
          <w:b w:val="1"/>
          <w:sz w:val="48"/>
          <w:szCs w:val="48"/>
          <w:shd w:val="clear" w:color="auto" w:fill="auto"/>
          <w:rFonts w:ascii="Times New Roman" w:eastAsia="Times New Roman" w:hAnsi="Times New Roman" w:cs="Times New Roman"/>
        </w:rPr>
        <w:t xml:space="preserve">under Flexible Pool for RCH &amp; Health System </w:t>
      </w:r>
      <w:r>
        <w:rPr>
          <w:b w:val="1"/>
          <w:sz w:val="48"/>
          <w:szCs w:val="48"/>
          <w:shd w:val="clear" w:color="auto" w:fill="auto"/>
          <w:rFonts w:ascii="Times New Roman" w:eastAsia="Times New Roman" w:hAnsi="Times New Roman" w:cs="Times New Roman"/>
        </w:rPr>
        <w:t xml:space="preserve">Strengthening, National Health Programme </w:t>
      </w:r>
      <w:r>
        <w:rPr>
          <w:b w:val="1"/>
          <w:sz w:val="48"/>
          <w:szCs w:val="48"/>
          <w:shd w:val="clear" w:color="auto" w:fill="auto"/>
          <w:rFonts w:ascii="Times New Roman" w:eastAsia="Times New Roman" w:hAnsi="Times New Roman" w:cs="Times New Roman"/>
        </w:rPr>
        <w:t xml:space="preserve">and Urban Health Mission </w:t>
      </w:r>
    </w:p>
    <w:p>
      <w:pPr>
        <w:jc w:val="both"/>
        <w:spacing w:lineRule="auto" w:line="275"/>
        <w:ind w:right="64" w:firstLine="0"/>
        <w:rPr>
          <w:sz w:val="48"/>
          <w:szCs w:val="48"/>
          <w:shd w:val="clear" w:color="auto" w:fill="auto"/>
          <w:rFonts w:ascii="Times New Roman" w:eastAsia="Times New Roman" w:hAnsi="Times New Roman" w:cs="Times New Roman"/>
        </w:rPr>
      </w:pPr>
      <w:r>
        <w:rPr>
          <w:sz w:val="20"/>
        </w:rPr>
        <w:drawing>
          <wp:anchor distT="0" distB="0" distL="114300" distR="114300" simplePos="0" relativeHeight="251624959" behindDoc="1" locked="0" layoutInCell="0" allowOverlap="1">
            <wp:simplePos x="0" y="0"/>
            <wp:positionH relativeFrom="column">
              <wp:posOffset>-1231269</wp:posOffset>
            </wp:positionH>
            <wp:positionV relativeFrom="paragraph">
              <wp:posOffset>568964</wp:posOffset>
            </wp:positionV>
            <wp:extent cx="7772400" cy="3097530"/>
            <wp:effectExtent l="19050" t="0" r="0" b="0"/>
            <wp:wrapNone/>
            <wp:docPr id="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/Users/Dell/AppData/Roaming/PolarisOffice9/ETemp/3236_14418920/image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73035" cy="3098165"/>
                    </a:xfrm>
                    <a:prstGeom prst="rect"/>
                    <a:noFill/>
                    <a:ln cap="flat"/>
                  </pic:spPr>
                </pic:pic>
              </a:graphicData>
            </a:graphic>
          </wp:anchor>
        </w:drawing>
      </w:r>
    </w:p>
    <w:p>
      <w:pPr>
        <w:spacing w:lineRule="auto" w:line="275"/>
        <w:rPr>
          <w:sz w:val="48"/>
          <w:szCs w:val="48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48"/>
          <w:szCs w:val="48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48"/>
          <w:szCs w:val="48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sz w:val="72"/>
          <w:szCs w:val="72"/>
          <w:shd w:val="clear" w:color="auto" w:fill="auto"/>
          <w:rFonts w:ascii="Times New Roman" w:eastAsia="Times New Roman" w:hAnsi="Times New Roman" w:cs="Times New Roman"/>
        </w:rPr>
      </w:pPr>
      <w:r>
        <w:rPr>
          <w:sz w:val="72"/>
          <w:szCs w:val="72"/>
          <w:shd w:val="clear" w:color="auto" w:fill="auto"/>
          <w:rFonts w:ascii="Times New Roman" w:eastAsia="Times New Roman" w:hAnsi="Times New Roman" w:cs="Times New Roman"/>
        </w:rPr>
        <w:t>[2023-24]</w:t>
      </w:r>
    </w:p>
    <w:p>
      <w:pPr>
        <w:sectPr>
          <w15:footnoteColumns w:val="1"/>
          <w:footerReference w:type="default" r:id="rId6"/>
          <w:pgSz w:w="12240" w:h="15840"/>
          <w:pgMar w:top="1440" w:left="1940" w:bottom="1440" w:right="880" w:header="0" w:footer="0" w:gutter="0"/>
          <w:pgNumType w:fmt="decimal"/>
          <w:docGrid w:type="default" w:linePitch="360" w:charSpace="0"/>
        </w:sectPr>
        <w:jc w:val="right"/>
        <w:spacing w:lineRule="auto" w:line="275"/>
        <w:rPr>
          <w:sz w:val="72"/>
          <w:szCs w:val="72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ind w:left="1" w:firstLine="0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bookmarkStart w:id="1" w:name="page2"/>
      <w:bookmarkEnd w:id="1"/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REQUEST FOR PROPOSAL (RFP)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ind w:left="1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State Health Society…...…... (Name of State), seeks to invite Proposal from the Comptroller &amp; Auditor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General of India</w:t>
      </w:r>
      <w:r>
        <w:rPr>
          <w:i w:val="1"/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(C&amp;AG) empaneled Chartered Accountant (CA) firms those are eligible for major </w:t>
      </w:r>
      <w:r>
        <w:rPr>
          <w:i w:val="1"/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Public Sector Undertakings (PSU) audits for the year 2023-24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for conducting the statutory audit of State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and District Health Societies under the National Health Mission for the FY 2023-24.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ind w:left="1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details about the background of the auditee, the units to be covered in the audit, scope of work, terms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of reference, and eligibility criteria for selection of the CA firm are given in the following paragraphs.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ind w:left="1" w:firstLine="0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  <w:t xml:space="preserve">Terms of Reference (ToR)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ind w:left="1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National Rural Health Mission (NRHM) of the Ministry of Health &amp; Family Welfare (MoHFW) was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launched on 12</w:t>
      </w:r>
      <w:r>
        <w:rPr>
          <w:vertAlign w:val="superscript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th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April, 2005 by the Government of India (GOI) to improve medical facilities in the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country. Since 2013-14 onwards the NRHM programme has been subsumed under the umbrella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programme of the National Health Mission (NHM). NHM is overarching NUHM and also includes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Communicable and Non-Communicable Diseases (NCD) as well. The NHM seeks to provide accessible,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affordable and quality health care to the population, especially the vulnerable sections. 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1"/>
          <w:ilvl w:val="0"/>
        </w:numPr>
        <w:jc w:val="both"/>
        <w:spacing w:lineRule="auto" w:line="275"/>
        <w:tabs>
          <w:tab w:val="left" w:pos="0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NHM has provided an umbrella under which the existing Reproductive and Child Health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Programme (RCH) (including RCH, Routine Immunization (RI),Pulse Polio Immunization(PPI) and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National Iodine Deficiency Disorder Control Programme (NIDDCP)), Health System Strengthening under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NRHM (including Other Health System Strengthening, Ayushman Bharat –Health &amp; Wellness Centre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(AB-HWC)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/>
        </w:rPr>
        <w:t>now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“Ayushman Arogya Mandir”</w:t>
      </w:r>
      <w:r>
        <w:rPr>
          <w:sz w:val="24"/>
          <w:szCs w:val="24"/>
          <w:shd w:val="clear" w:color="000000" w:fill="auto"/>
          <w:rFonts w:ascii="Times New Roman" w:eastAsia="Times New Roman" w:hAnsi="Times New Roman" w:cs="Times New Roman"/>
          <w:lang/>
        </w:rPr>
        <w:t xml:space="preserve">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and Asha Benefit Package (ABP) including facilitator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payment, various National Disease Control Programmes (NDCPs) and Non-Communicable Diseases (NCDs)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have been repositioned. National Urban Health Mission (NUHM) comprising of Other Health System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Strengthening and Ayushman Bharat –Health &amp; Wellness Centre (AB-HWC)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/>
        </w:rPr>
        <w:t>now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“Ayushman Arogya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Mandir”</w:t>
      </w:r>
      <w:r>
        <w:rPr>
          <w:sz w:val="24"/>
          <w:szCs w:val="24"/>
          <w:shd w:val="clear" w:color="000000" w:fill="auto"/>
          <w:rFonts w:ascii="Times New Roman" w:eastAsia="Times New Roman" w:hAnsi="Times New Roman" w:cs="Times New Roman"/>
          <w:lang/>
        </w:rPr>
        <w:t xml:space="preserve">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has also been added in National Health Mission.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1"/>
          <w:ilvl w:val="0"/>
        </w:numPr>
        <w:jc w:val="both"/>
        <w:spacing w:lineRule="auto" w:line="275"/>
        <w:ind w:left="341" w:hanging="341"/>
        <w:tabs>
          <w:tab w:val="left" w:pos="341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At present the following Programmes/Schemes fall under the National Health Mission:</w:t>
      </w:r>
    </w:p>
    <w:p>
      <w:pPr>
        <w:pStyle w:val="PO26"/>
        <w:numPr>
          <w:numId w:val="45"/>
          <w:ilvl w:val="0"/>
        </w:numPr>
        <w:jc w:val="both"/>
        <w:spacing w:lineRule="auto" w:line="360" w:before="120"/>
        <w:rPr>
          <w:color w:val="000000" w:themeColor="text1"/>
          <w:sz w:val="24"/>
          <w:szCs w:val="24"/>
          <w:shd w:val="clear" w:color="auto" w:fill="auto"/>
          <w:rFonts w:ascii="Times New Roman" w:hAnsi="Times New Roman" w:cs="Times New Roman"/>
          <w:lang w:bidi="en-US"/>
        </w:rPr>
      </w:pPr>
      <w:r>
        <w:rPr>
          <w:b w:val="1"/>
          <w:color w:val="000000" w:themeColor="text1"/>
          <w:sz w:val="24"/>
          <w:szCs w:val="24"/>
          <w:shd w:val="clear" w:color="auto" w:fill="auto"/>
          <w:rFonts w:ascii="Times New Roman" w:hAnsi="Times New Roman" w:cs="Times New Roman"/>
          <w:lang w:bidi="en-US"/>
        </w:rPr>
        <w:t xml:space="preserve">Till FY 2021-22, fund release under NHM was as under the following (5) pools/components</w:t>
      </w:r>
      <w:r>
        <w:rPr>
          <w:color w:val="000000" w:themeColor="text1"/>
          <w:sz w:val="24"/>
          <w:szCs w:val="24"/>
          <w:shd w:val="clear" w:color="auto" w:fill="auto"/>
          <w:rFonts w:ascii="Times New Roman" w:hAnsi="Times New Roman" w:cs="Times New Roman"/>
          <w:lang w:bidi="en-US"/>
        </w:rPr>
        <w:t>:</w:t>
      </w:r>
    </w:p>
    <w:p>
      <w:pPr>
        <w:pStyle w:val="PO26"/>
        <w:numPr>
          <w:numId w:val="46"/>
          <w:ilvl w:val="0"/>
        </w:numPr>
        <w:jc w:val="both"/>
        <w:spacing w:lineRule="auto" w:line="360" w:before="120"/>
        <w:ind w:firstLine="414"/>
        <w:rPr>
          <w:sz w:val="24"/>
          <w:szCs w:val="24"/>
          <w:shd w:val="clear" w:color="auto" w:fill="auto"/>
          <w:rFonts w:ascii="Times New Roman" w:hAnsi="Times New Roman" w:cs="Times New Roman"/>
          <w:lang w:bidi="en-US"/>
        </w:rPr>
      </w:pP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NRHM-RCH Flexible Pool</w:t>
      </w:r>
    </w:p>
    <w:p>
      <w:pPr>
        <w:pStyle w:val="PO26"/>
        <w:numPr>
          <w:numId w:val="47"/>
          <w:ilvl w:val="0"/>
        </w:numPr>
        <w:jc w:val="both"/>
        <w:spacing w:lineRule="auto" w:line="360"/>
        <w:ind w:firstLine="414"/>
        <w:rPr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RCH Flexible Pool</w:t>
      </w:r>
    </w:p>
    <w:p>
      <w:pPr>
        <w:pStyle w:val="PO26"/>
        <w:numPr>
          <w:numId w:val="47"/>
          <w:ilvl w:val="0"/>
        </w:numPr>
        <w:jc w:val="both"/>
        <w:spacing w:lineRule="auto" w:line="360"/>
        <w:ind w:firstLine="414"/>
        <w:rPr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Health System Strengthening under NRHM</w:t>
      </w:r>
    </w:p>
    <w:p>
      <w:pPr>
        <w:pStyle w:val="PO26"/>
        <w:numPr>
          <w:numId w:val="46"/>
          <w:ilvl w:val="0"/>
        </w:numPr>
        <w:jc w:val="both"/>
        <w:spacing w:lineRule="auto" w:line="360"/>
        <w:ind w:firstLine="414"/>
        <w:rPr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National Urban Health Mission-Flexible Pool</w:t>
      </w:r>
    </w:p>
    <w:p>
      <w:pPr>
        <w:pStyle w:val="PO26"/>
        <w:numPr>
          <w:numId w:val="46"/>
          <w:ilvl w:val="0"/>
        </w:numPr>
        <w:jc w:val="both"/>
        <w:spacing w:lineRule="auto" w:line="360"/>
        <w:ind w:firstLine="414"/>
        <w:rPr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Flexible Pool for Communicable Diseases</w:t>
      </w:r>
    </w:p>
    <w:p>
      <w:pPr>
        <w:pStyle w:val="PO26"/>
        <w:numPr>
          <w:numId w:val="46"/>
          <w:ilvl w:val="0"/>
        </w:numPr>
        <w:jc w:val="both"/>
        <w:spacing w:lineRule="auto" w:line="360"/>
        <w:ind w:firstLine="414"/>
        <w:rPr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Flexible Pool for Non-Communicable Diseases, injury &amp; Trauma</w:t>
      </w:r>
    </w:p>
    <w:p>
      <w:pPr>
        <w:pStyle w:val="PO26"/>
        <w:numPr>
          <w:numId w:val="46"/>
          <w:ilvl w:val="0"/>
        </w:numPr>
        <w:jc w:val="both"/>
        <w:spacing w:lineRule="auto" w:line="360"/>
        <w:ind w:firstLine="414"/>
        <w:rPr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Infrastructure Maintenance</w:t>
      </w:r>
    </w:p>
    <w:p>
      <w:pPr>
        <w:spacing w:lineRule="auto" w:line="275"/>
        <w:ind w:left="341" w:firstLine="0"/>
        <w:rPr>
          <w:sz w:val="24"/>
          <w:szCs w:val="24"/>
          <w:shd w:val="clear" w:color="auto" w:fill="auto"/>
          <w:rFonts w:ascii="Times New Roman" w:hAnsi="Times New Roman" w:cs="Times New Roman"/>
          <w:lang w:bidi="en-US"/>
        </w:rPr>
      </w:pPr>
    </w:p>
    <w:p>
      <w:pPr>
        <w:pStyle w:val="PO26"/>
        <w:numPr>
          <w:numId w:val="45"/>
          <w:ilvl w:val="0"/>
        </w:numPr>
        <w:spacing w:lineRule="auto" w:line="275"/>
        <w:rPr>
          <w:sz w:val="24"/>
          <w:szCs w:val="24"/>
          <w:shd w:val="clear" w:color="auto" w:fill="auto"/>
          <w:rFonts w:ascii="Times New Roman" w:hAnsi="Times New Roman" w:cs="Times New Roman"/>
          <w:lang w:bidi="en-US"/>
        </w:rPr>
      </w:pPr>
      <w:r>
        <w:rPr>
          <w:sz w:val="24"/>
          <w:szCs w:val="24"/>
          <w:shd w:val="clear" w:color="auto" w:fill="auto"/>
          <w:rFonts w:ascii="Times New Roman" w:hAnsi="Times New Roman" w:cs="Times New Roman"/>
          <w:lang w:bidi="en-US"/>
        </w:rPr>
        <w:t xml:space="preserve">With a view to provide more flexibility to States/UTs and improve financial utilization, Dept. of </w:t>
      </w:r>
      <w:r>
        <w:rPr>
          <w:sz w:val="24"/>
          <w:szCs w:val="24"/>
          <w:shd w:val="clear" w:color="auto" w:fill="auto"/>
          <w:rFonts w:ascii="Times New Roman" w:hAnsi="Times New Roman" w:cs="Times New Roman"/>
          <w:lang w:bidi="en-US"/>
        </w:rPr>
        <w:t xml:space="preserve">Expenditure w.e.f. FY 202</w:t>
      </w:r>
      <w:r>
        <w:rPr>
          <w:sz w:val="24"/>
          <w:szCs w:val="24"/>
          <w:shd w:val="clear" w:color="auto" w:fill="auto"/>
          <w:rFonts w:ascii="Times New Roman" w:eastAsia="맑은 고딕" w:hAnsi="맑은 고딕" w:cs="맑은 고딕"/>
          <w:lang/>
        </w:rPr>
        <w:t>2</w:t>
      </w:r>
      <w:r>
        <w:rPr>
          <w:sz w:val="24"/>
          <w:szCs w:val="24"/>
          <w:shd w:val="clear" w:color="auto" w:fill="auto"/>
          <w:rFonts w:ascii="Times New Roman" w:hAnsi="Times New Roman" w:cs="Times New Roman"/>
          <w:lang w:bidi="en-US"/>
        </w:rPr>
        <w:t>-2</w:t>
      </w:r>
      <w:r>
        <w:rPr>
          <w:sz w:val="24"/>
          <w:szCs w:val="24"/>
          <w:shd w:val="clear" w:color="auto" w:fill="auto"/>
          <w:rFonts w:ascii="Times New Roman" w:eastAsia="맑은 고딕" w:hAnsi="맑은 고딕" w:cs="맑은 고딕"/>
          <w:lang/>
        </w:rPr>
        <w:t>3</w:t>
      </w:r>
      <w:r>
        <w:rPr>
          <w:sz w:val="24"/>
          <w:szCs w:val="24"/>
          <w:shd w:val="clear" w:color="auto" w:fill="auto"/>
          <w:rFonts w:ascii="Times New Roman" w:hAnsi="Times New Roman" w:cs="Times New Roman"/>
          <w:lang w:bidi="en-US"/>
        </w:rPr>
        <w:t xml:space="preserve"> has </w:t>
      </w:r>
      <w:r>
        <w:rPr>
          <w:b w:val="1"/>
          <w:color w:val="000000" w:themeColor="text1"/>
          <w:sz w:val="24"/>
          <w:szCs w:val="24"/>
          <w:shd w:val="clear" w:color="auto" w:fill="auto"/>
          <w:rFonts w:ascii="Times New Roman" w:hAnsi="Times New Roman" w:cs="Times New Roman"/>
          <w:lang w:bidi="en-US"/>
        </w:rPr>
        <w:t xml:space="preserve">approved the merger of pools</w:t>
      </w:r>
      <w:r>
        <w:rPr>
          <w:sz w:val="24"/>
          <w:szCs w:val="24"/>
          <w:shd w:val="clear" w:color="auto" w:fill="auto"/>
          <w:rFonts w:ascii="Times New Roman" w:hAnsi="Times New Roman" w:cs="Times New Roman"/>
          <w:lang w:bidi="en-US"/>
        </w:rPr>
        <w:t xml:space="preserve">.  The present arrangement of </w:t>
      </w:r>
      <w:r>
        <w:rPr>
          <w:sz w:val="24"/>
          <w:szCs w:val="24"/>
          <w:shd w:val="clear" w:color="auto" w:fill="auto"/>
          <w:rFonts w:ascii="Times New Roman" w:hAnsi="Times New Roman" w:cs="Times New Roman"/>
          <w:lang w:bidi="en-US"/>
        </w:rPr>
        <w:t xml:space="preserve">pools: -</w:t>
      </w:r>
    </w:p>
    <w:p>
      <w:pPr>
        <w:spacing w:lineRule="auto" w:line="275"/>
        <w:ind w:left="341" w:firstLine="0"/>
        <w:rPr>
          <w:sz w:val="24"/>
          <w:szCs w:val="24"/>
          <w:shd w:val="clear" w:color="auto" w:fill="auto"/>
          <w:rFonts w:ascii="Times New Roman" w:hAnsi="Times New Roman" w:cs="Times New Roman"/>
          <w:lang w:bidi="en-US"/>
        </w:rPr>
      </w:pPr>
    </w:p>
    <w:tbl>
      <w:tblID w:val="0"/>
      <w:tblPr>
        <w:tblCellMar>
          <w:left w:w="0" w:type="dxa"/>
          <w:top w:w="0" w:type="dxa"/>
          <w:right w:w="0" w:type="dxa"/>
          <w:bottom w:w="0" w:type="dxa"/>
        </w:tblCellMar>
        <w:tblW w:w="9779" w:type="dxa"/>
        <w:tblInd w:w="534" w:type="dxa"/>
        <w:tblLook w:val="0004A0" w:firstRow="1" w:lastRow="0" w:firstColumn="1" w:lastColumn="0" w:noHBand="0" w:noVBand="1"/>
        <w:tblLayout w:type="fixed"/>
      </w:tblPr>
      <w:tblGrid>
        <w:gridCol w:w="763"/>
        <w:gridCol w:w="9016"/>
      </w:tblGrid>
      <w:tr>
        <w:trPr>
          <w:trHeight w:hRule="atleast" w:val="321"/>
        </w:trPr>
        <w:tc>
          <w:tcPr>
            <w:tcW w:type="dxa" w:w="763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  <w:shd w:val="clear" w:color="auto" w:fill="auto"/>
                <w:rFonts w:ascii="Times New Roman" w:hAnsi="Times New Roman" w:cs="Times New Roman"/>
              </w:rPr>
            </w:pPr>
          </w:p>
        </w:tc>
        <w:tc>
          <w:tcPr>
            <w:tcW w:type="dxa" w:w="9016"/>
            <w:tcMar>
              <w:left w:w="108" w:type="dxa"/>
              <w:right w:w="108" w:type="dxa"/>
            </w:tcMar>
            <w:vAlign w:val="bottom"/>
          </w:tcPr>
          <w:p>
            <w:pPr>
              <w:pStyle w:val="PO26"/>
              <w:numPr>
                <w:numId w:val="48"/>
                <w:ilvl w:val="0"/>
              </w:numPr>
              <w:rPr>
                <w:color w:val="000000"/>
                <w:sz w:val="24"/>
                <w:szCs w:val="24"/>
                <w:shd w:val="clear" w:color="auto" w:fill="auto"/>
                <w:rFonts w:ascii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hAnsi="Times New Roman" w:cs="Times New Roman"/>
              </w:rPr>
              <w:t xml:space="preserve">Flexible Pool for RCH &amp; Health System Strengthening, National Health </w:t>
            </w:r>
            <w:r>
              <w:rPr>
                <w:color w:val="000000"/>
                <w:sz w:val="24"/>
                <w:szCs w:val="24"/>
                <w:shd w:val="clear" w:color="auto" w:fill="auto"/>
                <w:rFonts w:ascii="Times New Roman" w:hAnsi="Times New Roman" w:cs="Times New Roman"/>
              </w:rPr>
              <w:t xml:space="preserve">Programme and Urban Health Mission </w:t>
            </w:r>
          </w:p>
        </w:tc>
      </w:tr>
      <w:tr>
        <w:trPr>
          <w:trHeight w:hRule="atleast" w:val="340"/>
        </w:trPr>
        <w:tc>
          <w:tcPr>
            <w:tcW w:type="dxa" w:w="763"/>
            <w:tcMar>
              <w:left w:w="108" w:type="dxa"/>
              <w:right w:w="108" w:type="dxa"/>
            </w:tcMar>
            <w:vAlign w:val="bottom"/>
          </w:tcPr>
          <w:p>
            <w:pPr>
              <w:jc w:val="center"/>
              <w:rPr>
                <w:color w:val="000000"/>
                <w:sz w:val="24"/>
                <w:szCs w:val="24"/>
                <w:shd w:val="clear" w:color="auto" w:fill="auto"/>
                <w:rFonts w:ascii="Times New Roman" w:hAnsi="Times New Roman" w:cs="Times New Roman"/>
              </w:rPr>
            </w:pPr>
          </w:p>
        </w:tc>
        <w:tc>
          <w:tcPr>
            <w:tcW w:type="dxa" w:w="9016"/>
            <w:tcMar>
              <w:left w:w="108" w:type="dxa"/>
              <w:right w:w="108" w:type="dxa"/>
            </w:tcMar>
            <w:vAlign w:val="bottom"/>
          </w:tcPr>
          <w:p>
            <w:pPr>
              <w:pStyle w:val="PO26"/>
              <w:rPr>
                <w:color w:val="000000"/>
                <w:sz w:val="24"/>
                <w:szCs w:val="24"/>
                <w:shd w:val="clear" w:color="auto" w:fill="auto"/>
                <w:rFonts w:ascii="Times New Roman" w:hAnsi="Times New Roman" w:cs="Times New Roman"/>
              </w:rPr>
            </w:pPr>
          </w:p>
          <w:p>
            <w:pPr>
              <w:pStyle w:val="PO26"/>
              <w:numPr>
                <w:numId w:val="48"/>
                <w:ilvl w:val="0"/>
              </w:numPr>
              <w:rPr>
                <w:color w:val="000000"/>
                <w:sz w:val="24"/>
                <w:szCs w:val="24"/>
                <w:shd w:val="clear" w:color="auto" w:fill="auto"/>
                <w:rFonts w:ascii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hAnsi="Times New Roman" w:cs="Times New Roman"/>
              </w:rPr>
              <w:t xml:space="preserve">Infrastructure Maintenance</w:t>
            </w:r>
          </w:p>
        </w:tc>
      </w:tr>
      <w:tr>
        <w:trPr>
          <w:trHeight w:hRule="atleast" w:val="679"/>
        </w:trPr>
        <w:tc>
          <w:tcPr>
            <w:tcW w:type="dxa" w:w="763"/>
            <w:tcMar>
              <w:left w:w="108" w:type="dxa"/>
              <w:right w:w="108" w:type="dxa"/>
            </w:tcMar>
            <w:vAlign w:val="bottom"/>
          </w:tcPr>
          <w:p>
            <w:pPr>
              <w:jc w:val="center"/>
              <w:rPr>
                <w:color w:val="000000"/>
                <w:sz w:val="24"/>
                <w:szCs w:val="24"/>
                <w:shd w:val="clear" w:color="auto" w:fill="auto"/>
                <w:rFonts w:ascii="Times New Roman" w:hAnsi="Times New Roman" w:cs="Times New Roman"/>
              </w:rPr>
            </w:pPr>
          </w:p>
        </w:tc>
        <w:tc>
          <w:tcPr>
            <w:tcW w:type="dxa" w:w="9016"/>
            <w:tcMar>
              <w:left w:w="108" w:type="dxa"/>
              <w:right w:w="108" w:type="dxa"/>
            </w:tcMar>
            <w:vAlign w:val="bottom"/>
          </w:tcPr>
          <w:p>
            <w:pPr>
              <w:pStyle w:val="PO26"/>
              <w:numPr>
                <w:numId w:val="48"/>
                <w:ilvl w:val="0"/>
              </w:numPr>
              <w:rPr>
                <w:color w:val="000000"/>
                <w:sz w:val="24"/>
                <w:szCs w:val="24"/>
                <w:shd w:val="clear" w:color="auto" w:fill="auto"/>
                <w:rFonts w:ascii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hAnsi="Times New Roman" w:cs="Times New Roman"/>
              </w:rPr>
              <w:t xml:space="preserve">Strengthening of National Programme Management Unit</w:t>
            </w:r>
          </w:p>
        </w:tc>
      </w:tr>
      <w:tr>
        <w:trPr>
          <w:trHeight w:hRule="atleast" w:val="340"/>
        </w:trPr>
        <w:tc>
          <w:tcPr>
            <w:tcW w:type="dxa" w:w="9779"/>
            <w:tcMar>
              <w:left w:w="108" w:type="dxa"/>
              <w:right w:w="108" w:type="dxa"/>
            </w:tcMar>
            <w:vAlign w:val="center"/>
            <w:gridSpan w:val="2"/>
          </w:tcPr>
          <w:p>
            <w:pPr>
              <w:pStyle w:val="PO26"/>
              <w:rPr>
                <w:b w:val="1"/>
                <w:color w:val="000000"/>
                <w:sz w:val="24"/>
                <w:szCs w:val="24"/>
                <w:shd w:val="clear" w:color="auto" w:fill="auto"/>
                <w:rFonts w:ascii="Times New Roman" w:hAnsi="Times New Roman" w:cs="Times New Roman"/>
              </w:rPr>
            </w:pPr>
          </w:p>
        </w:tc>
      </w:tr>
    </w:tbl>
    <w:p>
      <w:pPr>
        <w:spacing w:lineRule="auto" w:line="275"/>
        <w:ind w:left="341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3"/>
          <w:ilvl w:val="0"/>
        </w:numPr>
        <w:jc w:val="both"/>
        <w:spacing w:lineRule="auto" w:line="275"/>
        <w:ind w:left="341" w:hanging="341"/>
        <w:tabs>
          <w:tab w:val="left" w:pos="341"/>
        </w:tabs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Institutional and Funding Arrangements:</w:t>
      </w:r>
    </w:p>
    <w:p>
      <w:pPr>
        <w:jc w:val="both"/>
        <w:spacing w:lineRule="auto" w:line="275" w:before="120"/>
        <w:ind w:left="340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For the implementation of the above programmes, MoHFW has required the creation of an Integrated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Health Society at the State and District levels (registered as a legal entity at the State and District under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Societies Registration Act, 1860). Such integrated State Health Society (SHS) works in close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coordination with the Directorate of Health &amp; Family Welfare and District Health Societies (DHSs)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work in coordination with the District Collector and District Chief Medical Officer (CMO). Program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implementation is done through its District Chief Medical Officer’s office, Blocks, Community Health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Centres (CHCs), Primary Health Centres (PHCs), Sub- Centres (SCs), Rogi Kalyan Samities (RKS)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and Village Health Sanitation &amp; Nutrition Committees (VHSNC). Certain activities may be managed at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State level such as drug procurement, IEC, civil works, training using specialized entities such as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SIHFW, IEC Bureau, PWD, the Directorate of Health and Municipal Corporations for the urban health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components. </w:t>
      </w:r>
    </w:p>
    <w:p>
      <w:pPr>
        <w:jc w:val="both"/>
        <w:spacing w:lineRule="auto" w:line="275"/>
        <w:ind w:left="341" w:firstLine="0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Funding &amp; Accounting Arrangements:</w:t>
      </w:r>
    </w:p>
    <w:p>
      <w:pPr>
        <w:jc w:val="both"/>
        <w:spacing w:lineRule="auto" w:line="275" w:before="120"/>
        <w:ind w:left="340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Funds for the various programs under NHM are transferred from the Pay&amp; Accounts Office of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MoHFW to the State Treasuries and then from Treasuries to the Single Nodal Account of Single Nodal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Agencies of SHS functioning in the State. Government of India transfer funds in the form of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Grants-in-Aid to State treasuries through RBI on the basis of respective State Programme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Implementation Plans (SPIPs) and approved Annual Work Plans</w:t>
      </w:r>
      <w:bookmarkStart w:id="2" w:name="page4"/>
      <w:bookmarkEnd w:id="2"/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which are prepared on the basis of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District Health Action Plans (DHAPs) of each of the districts in the State. Under the umbrella of the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integrated SHS/DHS each program has separate bank account, separate books of accounts and other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financial records as per the requirements of each program and also submit separate financial activity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reports at varying frequencies to the respective monitoring units in MoHFW (GOI).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4"/>
          <w:ilvl w:val="0"/>
        </w:numPr>
        <w:jc w:val="both"/>
        <w:spacing w:lineRule="auto" w:line="275"/>
        <w:ind w:left="562" w:hanging="562"/>
        <w:tabs>
          <w:tab w:val="left" w:pos="284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Financing by Development Partners/ Donors:</w:t>
      </w:r>
    </w:p>
    <w:p>
      <w:pPr>
        <w:jc w:val="both"/>
        <w:spacing w:lineRule="auto" w:line="275" w:before="120"/>
        <w:ind w:left="284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Some of the programs of NHM are also supported by development partners such as the Asian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Development Bank (ADB), The Global Fund to Fight AIDS, Tuberculosis and Malaria (GFATM)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/World Bank, etc. for which credit agreements have been entered into by GOI with the respective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Development Partners. Compliance with specific fiduciary requirements of the Development Partners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will additionally need to be reported by the auditors. Copies of the legal agreements and other project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documents will be provided to the auditors</w:t>
      </w:r>
      <w:r>
        <w:rPr>
          <w:color w:val="76923C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,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if needed, by SHS/ concerned Programme Division in the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State.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4"/>
          <w:ilvl w:val="0"/>
        </w:numPr>
        <w:jc w:val="both"/>
        <w:spacing w:lineRule="auto" w:line="275"/>
        <w:ind w:left="284" w:hanging="562"/>
        <w:tabs>
          <w:tab w:val="left" w:pos="562"/>
        </w:tabs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Objective of audit services:</w:t>
      </w:r>
    </w:p>
    <w:p>
      <w:pPr>
        <w:jc w:val="both"/>
        <w:spacing w:lineRule="auto" w:line="275" w:before="120"/>
        <w:ind w:left="284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objective of the audit is to ensure that MoHFW receives adequate, independent, professional audit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assurance that the grant proceeds provided by MoHFW are used for purposes intended in line with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approved PIPs and Annual Work Plan (AWP) of individual programs and that the annual financial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statements are free from material mis-statements and the terms of the credit/ loan agreements of the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development partners are complied with in all material respects.</w:t>
      </w:r>
    </w:p>
    <w:p>
      <w:pPr>
        <w:spacing w:lineRule="auto" w:line="275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ind w:left="284" w:firstLine="0"/>
        <w:rPr>
          <w:color w:val="76923C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objective of the audit of the financial statements of State and District Health Society as well as the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Consolidated Financial Statements of the State and District as a whole i.e. Balance Sheet, Income &amp;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Expenditure, Receipt &amp; Payment, together with relevant accounting policies, notes to accounts and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schedules, Bank Reconciliation Statements, Statement of Funds Position, Reconciliation of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Expenditures as per Audited financial statements with the expenditure reported as per the Financial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Monitoring Report (FMR) is to enable the auditor to express a professional opinion as to whether:</w:t>
      </w:r>
      <w:r>
        <w:rPr>
          <w:color w:val="76923C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-</w:t>
      </w:r>
    </w:p>
    <w:p>
      <w:pPr>
        <w:spacing w:lineRule="auto" w:line="275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4"/>
          <w:ilvl w:val="2"/>
        </w:numPr>
        <w:jc w:val="both"/>
        <w:spacing w:lineRule="auto" w:line="275"/>
        <w:ind w:left="284" w:firstLine="50"/>
        <w:tabs>
          <w:tab w:val="left" w:pos="1018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financial statements give a true and fair view of the Financial Position of the individual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District Health Societies (DHSs), State Health Societies (SHSs) and Consolidated District and State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Health Societies at the end of each fiscal year and of the funds received and expenditure incurred for the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accounting period ended March 31, 202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/>
        </w:rPr>
        <w:t>4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.</w:t>
      </w:r>
    </w:p>
    <w:p>
      <w:pPr>
        <w:spacing w:lineRule="auto" w:line="275"/>
        <w:ind w:left="284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4"/>
          <w:ilvl w:val="1"/>
        </w:numPr>
        <w:jc w:val="both"/>
        <w:spacing w:lineRule="auto" w:line="275"/>
        <w:ind w:left="284" w:firstLine="0"/>
        <w:tabs>
          <w:tab w:val="left" w:pos="882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funds were utilized for the purposes for which they were provided, and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4"/>
          <w:ilvl w:val="1"/>
        </w:numPr>
        <w:jc w:val="both"/>
        <w:spacing w:lineRule="auto" w:line="275"/>
        <w:ind w:left="284" w:firstLine="0"/>
        <w:tabs>
          <w:tab w:val="left" w:pos="1021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Where programs are financed by development partners, the respective program expenditures are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eligible for financing under the relevant grant/ credit agreement.</w:t>
      </w:r>
      <w:bookmarkStart w:id="3" w:name="page5"/>
      <w:bookmarkEnd w:id="3"/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The books of accounts as maintained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by the SHSs, DHSs and other participating implementing units such as Blocks, CHC, PHCs, Sub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Centers, Village Health Nutrition and Sanitation Committees (VHNSCs) etc. shall form the basis for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preparation of the individual DHS and SHS financial statements as well as the consolidated financial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statements for the State as a whole.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5"/>
          <w:ilvl w:val="1"/>
        </w:numPr>
        <w:jc w:val="both"/>
        <w:spacing w:lineRule="auto" w:line="275"/>
        <w:ind w:left="284" w:hanging="284"/>
        <w:tabs>
          <w:tab w:val="left" w:pos="284"/>
        </w:tabs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Standards: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audit will be carried out in accordance with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Engagement &amp; Quality Control 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Standards (Audit &amp; Assurance Standards)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issued by the Institute of Chartered Accountants of India.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auditor should accordingly consider materiality when planning and performing (except where a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certain minimum coverage of implementing units is specified) the audit to reduce the risk to an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acceptable level that is consistent with the objective of the audit. In addition, the auditor should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specifically consider the risk of material misstatements in the financial statements resulting from fraud.</w:t>
      </w:r>
    </w:p>
    <w:p>
      <w:pPr>
        <w:jc w:val="both"/>
        <w:spacing w:lineRule="auto" w:line="275"/>
        <w:tabs>
          <w:tab w:val="left" w:pos="625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5"/>
          <w:ilvl w:val="1"/>
        </w:numPr>
        <w:jc w:val="both"/>
        <w:spacing w:lineRule="auto" w:line="275"/>
        <w:ind w:left="625" w:hanging="562"/>
        <w:tabs>
          <w:tab w:val="left" w:pos="625"/>
        </w:tabs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Criteria for Selection of Auditors </w:t>
      </w:r>
    </w:p>
    <w:p>
      <w:pPr>
        <w:pStyle w:val="PO26"/>
        <w:spacing w:lineRule="auto" w:line="275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pStyle w:val="PO26"/>
        <w:numPr>
          <w:numId w:val="29"/>
          <w:ilvl w:val="0"/>
        </w:numPr>
        <w:jc w:val="both"/>
        <w:spacing w:lineRule="auto" w:line="275"/>
        <w:ind w:left="993" w:firstLine="0"/>
        <w:rPr>
          <w:b w:val="1"/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hAnsi="Times New Roman" w:cs="Times New Roman"/>
        </w:rPr>
        <w:t xml:space="preserve">C&amp;AG empaneled major audit firms: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A firms those are empaneled with C&amp;AG for the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year 2023-24 and eligible for conducting audit of PSUs only will be eligible for the audit of the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NHM programmes. In this regard firms have to submit the details about the firm as per 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Form T-2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.</w:t>
      </w:r>
    </w:p>
    <w:p>
      <w:pPr>
        <w:pStyle w:val="PO26"/>
        <w:numPr>
          <w:numId w:val="29"/>
          <w:ilvl w:val="0"/>
        </w:numPr>
        <w:jc w:val="both"/>
        <w:spacing w:lineRule="auto" w:line="275"/>
        <w:ind w:left="993" w:firstLine="0"/>
        <w:rPr>
          <w:b w:val="1"/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hAnsi="Times New Roman" w:cs="Times New Roman"/>
        </w:rPr>
        <w:t xml:space="preserve">Selection through Open Tender System: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 The selection of the Auditor should be through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an Open Tender basis. </w:t>
      </w:r>
    </w:p>
    <w:p>
      <w:pPr>
        <w:pStyle w:val="PO26"/>
        <w:numPr>
          <w:numId w:val="29"/>
          <w:ilvl w:val="0"/>
        </w:numPr>
        <w:jc w:val="both"/>
        <w:spacing w:lineRule="auto" w:line="275"/>
        <w:ind w:left="993" w:firstLine="0"/>
        <w:rPr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hAnsi="Times New Roman" w:cs="Times New Roman"/>
        </w:rPr>
        <w:t xml:space="preserve">Preference of firms having Head Office (H.O.)/Local Branch office in the State Capital: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The firms having Head Office /Local Branch Office in the State capital of the same State for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which the proposal is given to be given preference at the time of finalizing the financial bid.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Such office must exist within the State for not less than three years as per the Institute of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Chartered Accountants of India (ICAI) Certificate.  However, in case of NE States/ UTs where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availability of Auditor is scarce, the States/UT may consider the proposals of audit firms from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the neighboring States. </w:t>
      </w:r>
    </w:p>
    <w:p>
      <w:pPr>
        <w:pStyle w:val="PO26"/>
        <w:numPr>
          <w:numId w:val="29"/>
          <w:ilvl w:val="0"/>
        </w:numPr>
        <w:jc w:val="both"/>
        <w:spacing w:lineRule="auto" w:line="275"/>
        <w:ind w:left="993" w:firstLine="0"/>
        <w:rPr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Firms have to give an undertaking that the audit team members are proficient in State’s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official language (both oral and written) and will be headed by a Chartered Accountant on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regular basis. </w:t>
      </w:r>
    </w:p>
    <w:p>
      <w:pPr>
        <w:pStyle w:val="PO26"/>
        <w:numPr>
          <w:numId w:val="29"/>
          <w:ilvl w:val="0"/>
        </w:numPr>
        <w:jc w:val="both"/>
        <w:spacing w:lineRule="auto" w:line="275"/>
        <w:ind w:left="993" w:firstLine="0"/>
        <w:rPr>
          <w:b w:val="1"/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CA firms eligible for audit: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CA firms those are empaneled with C&amp;AG for the year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2023-24 and eligible for conducting audit of major PSUs only will be eligible for the audit of the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NHM programmes. Further, CA firms eligible for conducting audit of PSUs in 2023-24 and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having their Head Office / Branch offices in designated State may be given additional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weight-age in the evaluation of Technical proposal.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However, in case of NE States/ UTs where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availability of Auditor is scarce, the States/UT may consider the proposals of audit firms from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the neighboring States.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On clearance of Technical proposal, the auditor will be finalized on the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basis of Financial Bids. In this regard, firms have to submit the details about the firm as per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Form T-2.</w:t>
      </w:r>
    </w:p>
    <w:p>
      <w:pPr>
        <w:pStyle w:val="PO26"/>
        <w:numPr>
          <w:numId w:val="29"/>
          <w:ilvl w:val="0"/>
        </w:numPr>
        <w:jc w:val="both"/>
        <w:spacing w:lineRule="auto" w:line="275"/>
        <w:ind w:left="993" w:firstLine="0"/>
        <w:rPr>
          <w:b w:val="1"/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hAnsi="Times New Roman" w:cs="Times New Roman"/>
        </w:rPr>
        <w:t xml:space="preserve">Disclosure of Minimum Fees in the RFP document: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 The States are allowed to fix the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minimum fees for audit firms in the Tender document keeping in view the resources involved,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number of districts (100% districts) and blocks (40%) to be covered during the course of Audit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and minimum number of days required for completion of audit. The States may refer the website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of “The Institute of Chartered Accountants of India (ICAI)” to decide the minimum fees. This is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in compliance with the Guideline No-1-CA(7)/03/2016 dated 7/4/2016 issued by “The Institute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of Chartered Accountants of India”. The States may refer the same as indicative basis. Further,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for the purpose of finalization of minimum fees, the State may also take the average of audit fees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paid during the last 3 years.</w:t>
      </w:r>
    </w:p>
    <w:p>
      <w:pPr>
        <w:pStyle w:val="PO26"/>
        <w:numPr>
          <w:numId w:val="29"/>
          <w:ilvl w:val="0"/>
        </w:numPr>
        <w:jc w:val="both"/>
        <w:spacing w:lineRule="auto" w:line="275"/>
        <w:ind w:left="993" w:firstLine="0"/>
        <w:rPr>
          <w:b w:val="1"/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Audit Fees and TA/DA: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firms those are interested to be appointed will have to quote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consolidated audit fees including expenses on TA/DA and Taxes. In case the audit team requests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State for stay arrangement etc., then cost to the State for such stay arrangements etc. will be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adjusted against the consolidated fees quoted. Bidding Firm should ensure that audit team shall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have to visit 100% Districts and at least 40% blocks within each district. The audit fee should be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quoted considering this aspect.</w:t>
      </w:r>
    </w:p>
    <w:p>
      <w:pPr>
        <w:pStyle w:val="PO26"/>
        <w:numPr>
          <w:numId w:val="29"/>
          <w:ilvl w:val="0"/>
        </w:numPr>
        <w:jc w:val="both"/>
        <w:spacing w:lineRule="auto" w:line="275"/>
        <w:ind w:left="993" w:firstLine="0"/>
        <w:rPr>
          <w:b w:val="1"/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Re-appointment of Auditor: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auditor once appointed can continue for only two more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years’ subject to the satisfaction of the performance by the State. In case where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extension/continuation of same auditor is sought for this extended duration beyond the initial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year of appointment, yearly approval of Executive Committee shall be taken after obtaining the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consent of the auditor and confirming that the said firm is in the panel of C&amp;AG and eligible for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conducting audit of major PSUs for the year for which firm is being re-appointed. In no case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shall continuation beyond this additional period of 2 years be granted. Further, any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comments/remarks/observation of the Ministry in this regard shall have to be considered while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re-appointing the same auditor.</w:t>
      </w:r>
    </w:p>
    <w:p>
      <w:pPr>
        <w:pStyle w:val="PO26"/>
        <w:numPr>
          <w:numId w:val="29"/>
          <w:ilvl w:val="0"/>
        </w:numPr>
        <w:jc w:val="both"/>
        <w:spacing w:lineRule="auto" w:line="275"/>
        <w:ind w:left="993" w:firstLine="0"/>
        <w:rPr>
          <w:b w:val="1"/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hAnsi="Times New Roman" w:cs="Times New Roman"/>
        </w:rPr>
        <w:t xml:space="preserve">Maximum No. of Audits under NHM: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  No auditor can take the assignment of audit of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more than three (3) States in a year. A certification in this regard may be obtained from the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>auditor.</w:t>
      </w:r>
    </w:p>
    <w:p>
      <w:pPr>
        <w:pStyle w:val="PO26"/>
        <w:numPr>
          <w:numId w:val="29"/>
          <w:ilvl w:val="0"/>
        </w:numPr>
        <w:jc w:val="both"/>
        <w:spacing w:lineRule="auto" w:line="275"/>
        <w:ind w:left="993" w:firstLine="0"/>
        <w:rPr>
          <w:b w:val="1"/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In case same audit fee is quoted by two or more CA firms, the selection of auditor shall be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done considering the following factors (priority-wise): -</w:t>
      </w:r>
    </w:p>
    <w:p>
      <w:pPr>
        <w:pStyle w:val="PO26"/>
        <w:numPr>
          <w:numId w:val="30"/>
          <w:ilvl w:val="0"/>
        </w:numPr>
        <w:jc w:val="both"/>
        <w:spacing w:lineRule="auto" w:line="275"/>
        <w:ind w:left="993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Past Experience in handling Government Contracts &amp; Conduct of the firm; and</w:t>
      </w:r>
    </w:p>
    <w:p>
      <w:pPr>
        <w:pStyle w:val="PO26"/>
        <w:numPr>
          <w:numId w:val="30"/>
          <w:ilvl w:val="0"/>
        </w:numPr>
        <w:jc w:val="both"/>
        <w:spacing w:lineRule="auto" w:line="275"/>
        <w:ind w:left="993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Turnover of the firm.</w:t>
      </w:r>
    </w:p>
    <w:p>
      <w:pPr>
        <w:pStyle w:val="PO26"/>
        <w:jc w:val="both"/>
        <w:spacing w:lineRule="auto" w:line="275"/>
        <w:ind w:left="993" w:firstLine="0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rPr>
          <w:b w:val="1"/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hAnsi="Times New Roman" w:cs="Times New Roman"/>
        </w:rPr>
        <w:t>9.</w:t>
      </w:r>
      <w:r>
        <w:rPr>
          <w:b w:val="1"/>
          <w:sz w:val="24"/>
          <w:szCs w:val="24"/>
          <w:shd w:val="clear" w:color="auto" w:fill="auto"/>
          <w:rFonts w:ascii="Times New Roman" w:hAnsi="Times New Roman" w:cs="Times New Roman"/>
        </w:rPr>
        <w:tab/>
      </w:r>
      <w:r>
        <w:rPr>
          <w:b w:val="1"/>
          <w:sz w:val="24"/>
          <w:szCs w:val="24"/>
          <w:shd w:val="clear" w:color="auto" w:fill="auto"/>
          <w:rFonts w:ascii="Times New Roman" w:hAnsi="Times New Roman" w:cs="Times New Roman"/>
        </w:rPr>
        <w:t xml:space="preserve">The other major points related to Statutory Audit are as follows:</w:t>
      </w:r>
    </w:p>
    <w:p>
      <w:pPr>
        <w:pStyle w:val="PO26"/>
        <w:numPr>
          <w:numId w:val="29"/>
          <w:ilvl w:val="1"/>
        </w:numPr>
        <w:jc w:val="both"/>
        <w:spacing w:lineRule="auto" w:line="275" w:after="200"/>
        <w:ind w:left="851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To ensure timely completion of audit, State should ensure that the books of accounts are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ready at all places before the start of audit. Further, timely availability of information to the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auditors should be ensured for completion of audit on time. </w:t>
      </w:r>
    </w:p>
    <w:p>
      <w:pPr>
        <w:pStyle w:val="PO26"/>
        <w:numPr>
          <w:numId w:val="29"/>
          <w:ilvl w:val="1"/>
        </w:numPr>
        <w:jc w:val="both"/>
        <w:spacing w:lineRule="auto" w:line="275" w:after="200"/>
        <w:ind w:left="851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In the pre-bid conference to be held, the participant firms should clearly be explained about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requirements of audit as regards to the number of districts, blocks, and physical visit of the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team at each location, number of implementing agencies from whom Utilization Certificates (UCs)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/Statement of Expenditure (SOEs) received and incorporated in Annual Financial Statements etc.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so that a quality audit is not compromised.</w:t>
      </w:r>
    </w:p>
    <w:p>
      <w:pPr>
        <w:pStyle w:val="PO26"/>
        <w:numPr>
          <w:numId w:val="29"/>
          <w:ilvl w:val="1"/>
        </w:numPr>
        <w:jc w:val="both"/>
        <w:spacing w:lineRule="auto" w:line="275" w:after="200"/>
        <w:ind w:left="851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It should be clearly ensured that a Standing Committee headed by Mission Director (NHM)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is constituted in the State for the selection of auditor and for follow up and issue of compliance to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audit observations of the previous years.</w:t>
      </w:r>
    </w:p>
    <w:p>
      <w:pPr>
        <w:pStyle w:val="PO26"/>
        <w:numPr>
          <w:numId w:val="29"/>
          <w:ilvl w:val="1"/>
        </w:numPr>
        <w:jc w:val="both"/>
        <w:spacing w:lineRule="auto" w:line="275" w:after="200"/>
        <w:ind w:left="851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After the completion of audit, State should organize an exit conference of the auditors to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discuss the audit observations.</w:t>
      </w:r>
    </w:p>
    <w:p>
      <w:pPr>
        <w:pStyle w:val="PO26"/>
        <w:numPr>
          <w:numId w:val="29"/>
          <w:ilvl w:val="1"/>
        </w:numPr>
        <w:jc w:val="both"/>
        <w:spacing w:lineRule="auto" w:line="275" w:after="200"/>
        <w:ind w:left="851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 copy of the working papers of the auditors shall be retained by the Director (Finance)/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State Finance Manager (SFM) in the State.</w:t>
      </w:r>
    </w:p>
    <w:p>
      <w:pPr>
        <w:pStyle w:val="PO26"/>
        <w:numPr>
          <w:numId w:val="29"/>
          <w:ilvl w:val="1"/>
        </w:numPr>
        <w:jc w:val="both"/>
        <w:spacing w:lineRule="auto" w:line="275" w:after="200"/>
        <w:ind w:left="851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The process of appointment of auditor has to be completed by 25</w:t>
      </w:r>
      <w:r>
        <w:rPr>
          <w:vertAlign w:val="superscript"/>
          <w:sz w:val="24"/>
          <w:szCs w:val="24"/>
          <w:shd w:val="clear" w:color="auto" w:fill="auto"/>
          <w:rFonts w:ascii="Times New Roman" w:hAnsi="Times New Roman" w:cs="Times New Roman"/>
        </w:rPr>
        <w:t>th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 April, 202</w:t>
      </w:r>
      <w:r>
        <w:rPr>
          <w:sz w:val="24"/>
          <w:szCs w:val="24"/>
          <w:shd w:val="clear" w:color="auto" w:fill="auto"/>
          <w:rFonts w:ascii="Times New Roman" w:eastAsia="맑은 고딕" w:hAnsi="맑은 고딕" w:cs="맑은 고딕"/>
          <w:lang/>
        </w:rPr>
        <w:t>4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 and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intimation of the auditor appointed along with the fees fixed and evaluation sheet for the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appointment has to be submitted to the Ministry latest by 05</w:t>
      </w:r>
      <w:r>
        <w:rPr>
          <w:vertAlign w:val="superscript"/>
          <w:sz w:val="24"/>
          <w:szCs w:val="24"/>
          <w:shd w:val="clear" w:color="auto" w:fill="auto"/>
          <w:rFonts w:ascii="Times New Roman" w:hAnsi="Times New Roman" w:cs="Times New Roman"/>
        </w:rPr>
        <w:t>th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 May, 202</w:t>
      </w:r>
      <w:r>
        <w:rPr>
          <w:sz w:val="24"/>
          <w:szCs w:val="24"/>
          <w:shd w:val="clear" w:color="auto" w:fill="auto"/>
          <w:rFonts w:ascii="Times New Roman" w:eastAsia="맑은 고딕" w:hAnsi="맑은 고딕" w:cs="맑은 고딕"/>
          <w:lang/>
        </w:rPr>
        <w:t>4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>.</w:t>
      </w:r>
    </w:p>
    <w:p>
      <w:pPr>
        <w:pStyle w:val="PO26"/>
        <w:numPr>
          <w:numId w:val="29"/>
          <w:ilvl w:val="1"/>
        </w:numPr>
        <w:jc w:val="both"/>
        <w:spacing w:lineRule="auto" w:line="275" w:after="200"/>
        <w:ind w:left="851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The State should get the audit of all the District Health Societies completed by 05</w:t>
      </w:r>
      <w:r>
        <w:rPr>
          <w:vertAlign w:val="superscript"/>
          <w:sz w:val="24"/>
          <w:szCs w:val="24"/>
          <w:shd w:val="clear" w:color="auto" w:fill="auto"/>
          <w:rFonts w:ascii="Times New Roman" w:hAnsi="Times New Roman" w:cs="Times New Roman"/>
        </w:rPr>
        <w:t>th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 June,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>202</w:t>
      </w:r>
      <w:r>
        <w:rPr>
          <w:sz w:val="24"/>
          <w:szCs w:val="24"/>
          <w:shd w:val="clear" w:color="auto" w:fill="auto"/>
          <w:rFonts w:ascii="Times New Roman" w:eastAsia="맑은 고딕" w:hAnsi="맑은 고딕" w:cs="맑은 고딕"/>
          <w:lang/>
        </w:rPr>
        <w:t>4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 and the Audit Report issued before 30</w:t>
      </w:r>
      <w:r>
        <w:rPr>
          <w:vertAlign w:val="superscript"/>
          <w:sz w:val="24"/>
          <w:szCs w:val="24"/>
          <w:shd w:val="clear" w:color="auto" w:fill="auto"/>
          <w:rFonts w:ascii="Times New Roman" w:hAnsi="Times New Roman" w:cs="Times New Roman"/>
        </w:rPr>
        <w:t>th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 June 202</w:t>
      </w:r>
      <w:r>
        <w:rPr>
          <w:sz w:val="24"/>
          <w:szCs w:val="24"/>
          <w:shd w:val="clear" w:color="auto" w:fill="auto"/>
          <w:rFonts w:ascii="Times New Roman" w:eastAsia="맑은 고딕" w:hAnsi="맑은 고딕" w:cs="맑은 고딕"/>
          <w:lang/>
        </w:rPr>
        <w:t>4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>.</w:t>
      </w:r>
    </w:p>
    <w:p>
      <w:pPr>
        <w:pStyle w:val="PO26"/>
        <w:numPr>
          <w:numId w:val="29"/>
          <w:ilvl w:val="1"/>
        </w:numPr>
        <w:jc w:val="both"/>
        <w:spacing w:lineRule="auto" w:line="275" w:after="200"/>
        <w:ind w:left="851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The consolidation of audit reports of all the districts with State along with all the necessary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requirements such as, Accounting Policies, Notes on Accounts and Management Letter is to be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completed by the State in time and final report submitted by 31</w:t>
      </w:r>
      <w:r>
        <w:rPr>
          <w:vertAlign w:val="superscript"/>
          <w:sz w:val="24"/>
          <w:szCs w:val="24"/>
          <w:shd w:val="clear" w:color="auto" w:fill="auto"/>
          <w:rFonts w:ascii="Times New Roman" w:hAnsi="Times New Roman" w:cs="Times New Roman"/>
        </w:rPr>
        <w:t>st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 July 202</w:t>
      </w:r>
      <w:r>
        <w:rPr>
          <w:sz w:val="24"/>
          <w:szCs w:val="24"/>
          <w:shd w:val="clear" w:color="auto" w:fill="auto"/>
          <w:rFonts w:ascii="Times New Roman" w:eastAsia="맑은 고딕" w:hAnsi="맑은 고딕" w:cs="맑은 고딕"/>
          <w:lang/>
        </w:rPr>
        <w:t>4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>.</w:t>
      </w:r>
    </w:p>
    <w:p>
      <w:pPr>
        <w:pStyle w:val="PO26"/>
        <w:numPr>
          <w:numId w:val="29"/>
          <w:ilvl w:val="1"/>
        </w:numPr>
        <w:jc w:val="both"/>
        <w:spacing w:lineRule="auto" w:line="275" w:after="200"/>
        <w:ind w:left="851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Audit Report as per Appendices of the RFP has to be submitted in triplicate with spiral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binding along with the soft copy(PDF/Scanned)mailed to </w:t>
      </w:r>
      <w:r>
        <w:fldChar w:fldCharType="begin"/>
      </w:r>
      <w:r>
        <w:instrText xml:space="preserve">HYPERLINK "mailto:"</w:instrText>
      </w:r>
      <w:r>
        <w:fldChar w:fldCharType="separate"/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fldChar w:fldCharType="end"/>
      </w:r>
      <w:r>
        <w:rPr>
          <w:shd w:val="clear" w:color="auto" w:fill="auto"/>
        </w:rPr>
        <w:t xml:space="preserve">mk.haldar@nic.in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and in a C.D. also by 31</w:t>
      </w:r>
      <w:r>
        <w:rPr>
          <w:vertAlign w:val="superscript"/>
          <w:sz w:val="24"/>
          <w:szCs w:val="24"/>
          <w:shd w:val="clear" w:color="auto" w:fill="auto"/>
          <w:rFonts w:ascii="Times New Roman" w:hAnsi="Times New Roman" w:cs="Times New Roman"/>
        </w:rPr>
        <w:t>st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July 202</w:t>
      </w:r>
      <w:r>
        <w:rPr>
          <w:sz w:val="24"/>
          <w:szCs w:val="24"/>
          <w:shd w:val="clear" w:color="auto" w:fill="auto"/>
          <w:rFonts w:ascii="Times New Roman" w:eastAsia="맑은 고딕" w:hAnsi="맑은 고딕" w:cs="맑은 고딕"/>
          <w:lang/>
        </w:rPr>
        <w:t>4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. </w:t>
      </w:r>
    </w:p>
    <w:p>
      <w:pPr>
        <w:jc w:val="both"/>
        <w:spacing w:lineRule="auto" w:line="275"/>
        <w:ind w:left="360" w:firstLine="0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10. 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ab/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Scope &amp; Coverage of audit: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In conducting the audit special attention should be paid to the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following:</w:t>
      </w:r>
    </w:p>
    <w:p>
      <w:pPr>
        <w:spacing w:lineRule="auto" w:line="275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6"/>
          <w:ilvl w:val="2"/>
        </w:numPr>
        <w:jc w:val="both"/>
        <w:spacing w:lineRule="auto" w:line="275"/>
        <w:ind w:left="945" w:hanging="330"/>
        <w:tabs>
          <w:tab w:val="left" w:pos="945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An assessment of adequacy of the project financial systems, including financial controls. This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should include aspects such as adequacy and effectiveness of accounting, financial and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operational controls; level of compliance with established policies, plans and procedures;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reliability of accounting systems, data and financial reports; methods of remedying weak controls;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verification of assets and liabilities and a specific report on this aspect would be provided by the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auditor annually as part of the management letter;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6"/>
          <w:ilvl w:val="2"/>
        </w:numPr>
        <w:jc w:val="both"/>
        <w:spacing w:lineRule="auto" w:line="275"/>
        <w:ind w:left="945" w:hanging="330"/>
        <w:tabs>
          <w:tab w:val="left" w:pos="945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Funds have been spent in accordance with the condition laid down by the Department of Health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&amp; Family Welfare, Government of India from time to time with due attention to economy and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efficiency and only for the purpose for which the financing was provided. Counterpart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contribution from State Government, where required has been provided.</w:t>
      </w:r>
      <w:bookmarkStart w:id="4" w:name="page6"/>
      <w:bookmarkEnd w:id="4"/>
    </w:p>
    <w:p>
      <w:pPr>
        <w:pStyle w:val="PO26"/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6"/>
          <w:ilvl w:val="2"/>
        </w:numPr>
        <w:jc w:val="both"/>
        <w:spacing w:lineRule="auto" w:line="275"/>
        <w:ind w:left="945" w:hanging="330"/>
        <w:tabs>
          <w:tab w:val="left" w:pos="945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Goods and services financed have been procured in accordance with the relevant procurement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guidelines issued by the GOI/ State Government. However, for various programmes, special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attention must be paid to the requirements of the agreement between GOI and Development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Partners (NTEP, IDSP and NVBDCP, etc.). Such requirements are available within the State/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District’s concerned Program Officers. For such externally funded programmes, auditor must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satisfy that all expenditure, including procurement of goods and services have been carried out as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per the procurement manual of the individual programmes and guidelines issued by the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Programme Divisions of GOI and have all the necessary supporting documentation.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6"/>
          <w:ilvl w:val="2"/>
        </w:numPr>
        <w:jc w:val="both"/>
        <w:spacing w:lineRule="auto" w:line="275"/>
        <w:ind w:left="945" w:hanging="330"/>
        <w:tabs>
          <w:tab w:val="left" w:pos="945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All necessary supporting documents, records and accounts have been kept in respect of the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project.</w:t>
      </w:r>
    </w:p>
    <w:p>
      <w:pPr>
        <w:jc w:val="both"/>
        <w:spacing w:lineRule="auto" w:line="275"/>
        <w:ind w:left="945" w:firstLine="0"/>
        <w:tabs>
          <w:tab w:val="left" w:pos="945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6"/>
          <w:ilvl w:val="2"/>
        </w:numPr>
        <w:jc w:val="both"/>
        <w:spacing w:lineRule="auto" w:line="275"/>
        <w:ind w:left="945" w:hanging="330"/>
        <w:tabs>
          <w:tab w:val="left" w:pos="945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Sample Coverage of sub district Implementing Units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: Audit will cover 100% District Health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Societies (DHSs) each being a legally registered society and at least 40% of the Block Level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CHC/PHC (at least 50% of such blocks should be new and remaining may be those covered in the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audit of last year). The sample shall be selected in a manner that Block level PHC/CHC in each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district is included in the sample coverage. All the vouchers pertaining to the health facilities will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be available at the respective health facility (DH, CHC/PHCs) for the purpose of audit. Audit shall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also cover audit of expenses related to NHM incurred through Rogi Kalyan Samities (RKSs) at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each level i.e. PHC/ CHC/ DH.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8"/>
          <w:ilvl w:val="0"/>
        </w:numPr>
        <w:jc w:val="both"/>
        <w:spacing w:lineRule="auto" w:line="275"/>
        <w:ind w:left="709" w:hanging="110"/>
        <w:tabs>
          <w:tab w:val="left" w:pos="993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Statutory Auditor may review the concurrent audit reports / quarterly executive summaries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and may consider material observations / findings while forming his opinion on overall internal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control and truth &amp; fairness of accounts/financial statements.</w:t>
      </w:r>
    </w:p>
    <w:p>
      <w:pPr>
        <w:spacing w:lineRule="auto" w:line="275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11. Project Financial Statements</w:t>
      </w:r>
    </w:p>
    <w:p>
      <w:pPr>
        <w:jc w:val="both"/>
        <w:spacing w:lineRule="auto" w:line="275" w:before="120"/>
        <w:ind w:left="420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 format of such financial statements and relevant schedules showing the consolidation of all the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programmes is given at (</w:t>
      </w:r>
      <w:r>
        <w:rPr>
          <w:i w:val="1"/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APPENDIX A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- FORMAT of FINANCIAL STATEMENTS) and also on the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website of MoHFW at </w:t>
      </w:r>
      <w:r>
        <w:fldChar w:fldCharType="begin"/>
      </w:r>
      <w:r>
        <w:instrText xml:space="preserve">HYPERLINK "http://www.nhm.gov.in/"</w:instrText>
      </w:r>
      <w:r>
        <w:fldChar w:fldCharType="separate"/>
      </w:r>
      <w:r>
        <w:rPr>
          <w:color w:val="0000FF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w</w:t>
      </w:r>
      <w:r>
        <w:rPr>
          <w:color w:val="0000FF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w</w:t>
      </w:r>
      <w:r>
        <w:rPr>
          <w:color w:val="0000FF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w</w:t>
      </w:r>
      <w:r>
        <w:rPr>
          <w:color w:val="0000FF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.</w:t>
      </w:r>
      <w:r>
        <w:rPr>
          <w:color w:val="0000FF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n</w:t>
      </w:r>
      <w:r>
        <w:rPr>
          <w:color w:val="0000FF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h</w:t>
      </w:r>
      <w:r>
        <w:rPr>
          <w:color w:val="0000FF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m</w:t>
      </w:r>
      <w:r>
        <w:rPr>
          <w:color w:val="0000FF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.</w:t>
      </w:r>
      <w:r>
        <w:rPr>
          <w:color w:val="0000FF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g</w:t>
      </w:r>
      <w:r>
        <w:rPr>
          <w:color w:val="0000FF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o</w:t>
      </w:r>
      <w:r>
        <w:rPr>
          <w:color w:val="0000FF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v</w:t>
      </w:r>
      <w:r>
        <w:rPr>
          <w:color w:val="0000FF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.</w:t>
      </w:r>
      <w:r>
        <w:rPr>
          <w:color w:val="0000FF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i</w:t>
      </w:r>
      <w:r>
        <w:rPr>
          <w:color w:val="0000FF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n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.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fldChar w:fldCharType="end"/>
      </w:r>
    </w:p>
    <w:p>
      <w:pPr>
        <w:spacing w:lineRule="auto" w:line="275"/>
        <w:ind w:left="420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Project Financial Statement (SHS, DHS and Consolidated) shall include the following: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pStyle w:val="PO26"/>
        <w:numPr>
          <w:numId w:val="9"/>
          <w:ilvl w:val="0"/>
        </w:numPr>
        <w:jc w:val="both"/>
        <w:spacing w:lineRule="auto" w:line="275"/>
        <w:tabs>
          <w:tab w:val="left" w:pos="720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Audit Opinion as per </w:t>
      </w:r>
      <w:r>
        <w:rPr>
          <w:i w:val="1"/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APPENDIX-C.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pStyle w:val="PO26"/>
        <w:numPr>
          <w:numId w:val="9"/>
          <w:ilvl w:val="1"/>
        </w:numPr>
        <w:jc w:val="both"/>
        <w:spacing w:lineRule="auto" w:line="275"/>
        <w:tabs>
          <w:tab w:val="left" w:pos="640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Balance sheet showing accumulated funds of the project balances other assets of the project,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and liabilities, if any.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pStyle w:val="PO26"/>
        <w:numPr>
          <w:numId w:val="9"/>
          <w:ilvl w:val="1"/>
        </w:numPr>
        <w:jc w:val="both"/>
        <w:spacing w:lineRule="auto" w:line="275"/>
        <w:tabs>
          <w:tab w:val="left" w:pos="740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Income &amp; Expenditure account for the year ending on 31st March 202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/>
        </w:rPr>
        <w:t>4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.</w:t>
      </w:r>
    </w:p>
    <w:p>
      <w:pPr>
        <w:jc w:val="both"/>
        <w:spacing w:lineRule="auto" w:line="275"/>
        <w:ind w:left="740" w:firstLine="0"/>
        <w:tabs>
          <w:tab w:val="left" w:pos="740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bookmarkStart w:id="5" w:name="page7"/>
      <w:bookmarkEnd w:id="5"/>
    </w:p>
    <w:p>
      <w:pPr>
        <w:pStyle w:val="PO26"/>
        <w:numPr>
          <w:numId w:val="9"/>
          <w:ilvl w:val="1"/>
        </w:numPr>
        <w:jc w:val="both"/>
        <w:spacing w:lineRule="auto" w:line="275"/>
        <w:tabs>
          <w:tab w:val="left" w:pos="740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Receipt and Payment Account for the year ending on 31st March 202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/>
        </w:rPr>
        <w:t>4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.</w:t>
      </w:r>
    </w:p>
    <w:p>
      <w:pPr>
        <w:pStyle w:val="PO26"/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pStyle w:val="PO26"/>
        <w:numPr>
          <w:numId w:val="9"/>
          <w:ilvl w:val="1"/>
        </w:numPr>
        <w:jc w:val="both"/>
        <w:spacing w:lineRule="auto" w:line="275"/>
        <w:tabs>
          <w:tab w:val="left" w:pos="740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Other Schedules to the Balance sheet as appropriate, but which shall include</w:t>
      </w:r>
    </w:p>
    <w:p>
      <w:pPr>
        <w:pStyle w:val="PO26"/>
        <w:numPr>
          <w:numId w:val="44"/>
          <w:ilvl w:val="0"/>
        </w:numPr>
        <w:jc w:val="both"/>
        <w:spacing w:lineRule="auto" w:line="275"/>
        <w:tabs>
          <w:tab w:val="left" w:pos="1418"/>
        </w:tabs>
        <w:rPr>
          <w:vertAlign w:val="superscript"/>
          <w:sz w:val="24"/>
          <w:szCs w:val="24"/>
          <w:shd w:val="clear" w:color="auto" w:fill="auto"/>
          <w:rFonts w:ascii="Times New Roman" w:eastAsia="Wingdings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Statement of Fixed Assets in the form of a Schedule,</w:t>
      </w:r>
    </w:p>
    <w:p>
      <w:pPr>
        <w:pStyle w:val="PO26"/>
        <w:numPr>
          <w:numId w:val="44"/>
          <w:ilvl w:val="0"/>
        </w:numPr>
        <w:jc w:val="both"/>
        <w:spacing w:lineRule="auto" w:line="275"/>
        <w:tabs>
          <w:tab w:val="left" w:pos="1418"/>
        </w:tabs>
        <w:rPr>
          <w:vertAlign w:val="superscript"/>
          <w:sz w:val="24"/>
          <w:szCs w:val="24"/>
          <w:shd w:val="clear" w:color="auto" w:fill="auto"/>
          <w:rFonts w:ascii="Times New Roman" w:eastAsia="Wingdings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Schedule of Loans and Advances (Age-wise analysis),</w:t>
      </w:r>
    </w:p>
    <w:p>
      <w:pPr>
        <w:pStyle w:val="PO26"/>
        <w:numPr>
          <w:numId w:val="44"/>
          <w:ilvl w:val="0"/>
        </w:numPr>
        <w:jc w:val="both"/>
        <w:spacing w:lineRule="auto" w:line="275"/>
        <w:tabs>
          <w:tab w:val="left" w:pos="1418"/>
        </w:tabs>
        <w:rPr>
          <w:vertAlign w:val="superscript"/>
          <w:sz w:val="24"/>
          <w:szCs w:val="24"/>
          <w:shd w:val="clear" w:color="auto" w:fill="auto"/>
          <w:rFonts w:ascii="Times New Roman" w:eastAsia="Wingdings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Schedule of all Cash &amp; Bank Balances (supported by bank reconciliation statements),</w:t>
      </w:r>
    </w:p>
    <w:p>
      <w:pPr>
        <w:pStyle w:val="PO26"/>
        <w:numPr>
          <w:numId w:val="44"/>
          <w:ilvl w:val="0"/>
        </w:numPr>
        <w:jc w:val="both"/>
        <w:spacing w:lineRule="auto" w:line="275"/>
        <w:tabs>
          <w:tab w:val="left" w:pos="1418"/>
        </w:tabs>
        <w:rPr>
          <w:vertAlign w:val="superscript"/>
          <w:sz w:val="24"/>
          <w:szCs w:val="24"/>
          <w:shd w:val="clear" w:color="auto" w:fill="auto"/>
          <w:rFonts w:ascii="Times New Roman" w:eastAsia="Wingdings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Program wise statement of expenditure.</w:t>
      </w:r>
    </w:p>
    <w:p>
      <w:pPr>
        <w:pStyle w:val="PO26"/>
        <w:numPr>
          <w:numId w:val="9"/>
          <w:ilvl w:val="1"/>
        </w:numPr>
        <w:jc w:val="both"/>
        <w:spacing w:lineRule="auto" w:line="275"/>
        <w:ind w:left="709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Notes on Accounts showing the accounting policies followed in the preparation of accounts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in the SHSs and DHSs and any other significant observation of the auditor.</w:t>
      </w:r>
    </w:p>
    <w:p>
      <w:pPr>
        <w:pStyle w:val="PO26"/>
        <w:numPr>
          <w:numId w:val="9"/>
          <w:ilvl w:val="1"/>
        </w:numPr>
        <w:jc w:val="both"/>
        <w:spacing w:lineRule="auto" w:line="275" w:before="120"/>
        <w:contextualSpacing w:val="0"/>
        <w:ind w:left="709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Auditor shall have to specify the significant observations, including internal control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weaknesses for each program and also specify the institution to which these relates to enable/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facilitate appropriate follow up action.</w:t>
      </w:r>
    </w:p>
    <w:p>
      <w:pPr>
        <w:pStyle w:val="PO26"/>
        <w:numPr>
          <w:numId w:val="9"/>
          <w:ilvl w:val="1"/>
        </w:numPr>
        <w:jc w:val="both"/>
        <w:spacing w:lineRule="auto" w:line="275" w:before="120"/>
        <w:contextualSpacing w:val="0"/>
        <w:ind w:left="709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Auditor shall have to certify the delay status of funds transferred from State Treasury to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/>
        </w:rPr>
        <w:t xml:space="preserve">SHS for FY 2019-20,2020-21 and 2021-22 and  SNA A/C of 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SHS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/>
        </w:rPr>
        <w:t xml:space="preserve"> from FY 2022-23  and 2023-24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as per prescribed format at </w:t>
      </w:r>
      <w:r>
        <w:rPr>
          <w:i w:val="1"/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Appendix E-1, 2, 3,4 </w:t>
      </w:r>
      <w:r>
        <w:rPr>
          <w:i w:val="1"/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  <w:lang/>
        </w:rPr>
        <w:t xml:space="preserve"> </w:t>
      </w:r>
      <w:r>
        <w:rPr>
          <w:i w:val="1"/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and </w:t>
      </w:r>
      <w:r>
        <w:rPr>
          <w:i w:val="1"/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  <w:lang/>
        </w:rPr>
        <w:t>5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/>
        </w:rPr>
        <w:t>.</w:t>
      </w:r>
    </w:p>
    <w:p>
      <w:pPr>
        <w:pStyle w:val="PO26"/>
        <w:numPr>
          <w:numId w:val="9"/>
          <w:ilvl w:val="1"/>
        </w:numPr>
        <w:jc w:val="both"/>
        <w:spacing w:lineRule="auto" w:line="275" w:before="120"/>
        <w:contextualSpacing w:val="0"/>
        <w:ind w:left="709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Auditor has to disclose whether the State has received any interest on delayed transfer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of funds from State Treasury to SHS bank account.</w:t>
      </w:r>
    </w:p>
    <w:p>
      <w:pPr>
        <w:pStyle w:val="PO26"/>
        <w:numPr>
          <w:numId w:val="9"/>
          <w:ilvl w:val="1"/>
        </w:numPr>
        <w:jc w:val="both"/>
        <w:spacing w:lineRule="auto" w:line="275" w:before="120"/>
        <w:contextualSpacing w:val="0"/>
        <w:ind w:left="709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color w:val="333333"/>
          <w:sz w:val="24"/>
          <w:szCs w:val="24"/>
          <w:shd w:val="clear" w:color="auto" w:fill="auto"/>
          <w:rFonts w:ascii="Times New Roman" w:hAnsi="Times New Roman" w:cs="Times New Roman"/>
        </w:rPr>
        <w:t xml:space="preserve">The comparison between audited expenditure and expenditure reported in the FMR of </w:t>
      </w:r>
      <w:r>
        <w:rPr>
          <w:color w:val="333333"/>
          <w:sz w:val="24"/>
          <w:szCs w:val="24"/>
          <w:shd w:val="clear" w:color="auto" w:fill="auto"/>
          <w:rFonts w:ascii="Times New Roman" w:hAnsi="Times New Roman" w:cs="Times New Roman"/>
        </w:rPr>
        <w:t xml:space="preserve">2023-24 along with the reason for variations.</w:t>
      </w:r>
    </w:p>
    <w:p>
      <w:pPr>
        <w:pStyle w:val="PO26"/>
        <w:numPr>
          <w:numId w:val="9"/>
          <w:ilvl w:val="1"/>
        </w:numPr>
        <w:jc w:val="both"/>
        <w:spacing w:lineRule="auto" w:line="275" w:before="120"/>
        <w:contextualSpacing w:val="0"/>
        <w:ind w:left="709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Sanction wise UCs as per Form 12-C of GFR 2017; duly tallied with the Income &amp;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Expenditure and expenditure on Fixed Asset during the financial year (which have been shown as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capitalized) 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[Attach a statement showing the details of expenditures clubbed in the Utilization 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Certificate tallying with the Income &amp; Expenditure Account and Schedules forming part of 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it]. A separate UC for State share contribution needs to be issued by the auditor and</w:t>
      </w:r>
    </w:p>
    <w:p>
      <w:pPr>
        <w:pStyle w:val="PO26"/>
        <w:jc w:val="both"/>
        <w:spacing w:lineRule="auto" w:line="275" w:before="120"/>
        <w:ind w:left="709" w:firstLine="0"/>
        <w:rPr>
          <w:b w:val="1"/>
          <w:shd w:val="clear" w:color="auto" w:fill="auto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Separate UCs for "Emergency Covid-19 Response Package for Health Systems Preparedness 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ECRP-I , ECRP-II and PM –ABhim needs to be issued by the auditor.</w:t>
      </w:r>
      <w:r>
        <w:rPr>
          <w:i w:val="1"/>
          <w:b w:val="1"/>
          <w:color w:val="002060"/>
          <w:sz w:val="40"/>
          <w:szCs w:val="40"/>
          <w:shd w:val="clear" w:color="auto" w:fill="auto"/>
          <w:rFonts w:eastAsia="+mn-ea" w:cs="+mn-cs"/>
        </w:rPr>
        <w:t xml:space="preserve"> </w:t>
      </w:r>
    </w:p>
    <w:p>
      <w:pPr>
        <w:pStyle w:val="PO26"/>
        <w:numPr>
          <w:numId w:val="9"/>
          <w:ilvl w:val="1"/>
        </w:numPr>
        <w:jc w:val="both"/>
        <w:spacing w:lineRule="auto" w:line="275" w:before="120"/>
        <w:contextualSpacing w:val="0"/>
        <w:ind w:left="709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Action Taken Report on the previous year’s audit observations.</w:t>
      </w:r>
    </w:p>
    <w:p>
      <w:pPr>
        <w:pStyle w:val="PO26"/>
        <w:numPr>
          <w:numId w:val="9"/>
          <w:ilvl w:val="1"/>
        </w:numPr>
        <w:jc w:val="both"/>
        <w:spacing w:lineRule="auto" w:line="275" w:before="120"/>
        <w:contextualSpacing w:val="0"/>
        <w:ind w:left="709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color w:val="333333"/>
          <w:sz w:val="24"/>
          <w:szCs w:val="24"/>
          <w:shd w:val="clear" w:color="auto" w:fill="auto"/>
          <w:rFonts w:ascii="Times New Roman" w:hAnsi="Times New Roman" w:cs="Times New Roman"/>
        </w:rPr>
        <w:t xml:space="preserve">Reconciliation of the FMR Expenditures of the last quarter i.e. 31</w:t>
      </w:r>
      <w:r>
        <w:rPr>
          <w:vertAlign w:val="superscript"/>
          <w:color w:val="333333"/>
          <w:sz w:val="24"/>
          <w:szCs w:val="24"/>
          <w:shd w:val="clear" w:color="auto" w:fill="auto"/>
          <w:rFonts w:ascii="Times New Roman" w:hAnsi="Times New Roman" w:cs="Times New Roman"/>
        </w:rPr>
        <w:t>st</w:t>
      </w:r>
      <w:r>
        <w:rPr>
          <w:color w:val="333333"/>
          <w:sz w:val="24"/>
          <w:szCs w:val="24"/>
          <w:shd w:val="clear" w:color="auto" w:fill="auto"/>
          <w:rFonts w:ascii="Times New Roman" w:hAnsi="Times New Roman" w:cs="Times New Roman"/>
        </w:rPr>
        <w:t xml:space="preserve">March 202</w:t>
      </w:r>
      <w:r>
        <w:rPr>
          <w:color w:val="333333"/>
          <w:sz w:val="24"/>
          <w:szCs w:val="24"/>
          <w:shd w:val="clear" w:color="auto" w:fill="auto"/>
          <w:rFonts w:ascii="Times New Roman" w:eastAsia="맑은 고딕" w:hAnsi="맑은 고딕" w:cs="맑은 고딕"/>
          <w:lang/>
        </w:rPr>
        <w:t>4</w:t>
      </w:r>
      <w:r>
        <w:rPr>
          <w:color w:val="333333"/>
          <w:sz w:val="24"/>
          <w:szCs w:val="24"/>
          <w:shd w:val="clear" w:color="auto" w:fill="auto"/>
          <w:rFonts w:ascii="Times New Roman" w:hAnsi="Times New Roman" w:cs="Times New Roman"/>
        </w:rPr>
        <w:t xml:space="preserve"> with </w:t>
      </w:r>
      <w:r>
        <w:rPr>
          <w:color w:val="333333"/>
          <w:sz w:val="24"/>
          <w:szCs w:val="24"/>
          <w:shd w:val="clear" w:color="auto" w:fill="auto"/>
          <w:rFonts w:ascii="Times New Roman" w:hAnsi="Times New Roman" w:cs="Times New Roman"/>
        </w:rPr>
        <w:t xml:space="preserve">expenditure as per the Annual Audited Financial Statements in the FMR format only for the </w:t>
      </w:r>
      <w:r>
        <w:rPr>
          <w:color w:val="333333"/>
          <w:sz w:val="24"/>
          <w:szCs w:val="24"/>
          <w:shd w:val="clear" w:color="auto" w:fill="auto"/>
          <w:rFonts w:ascii="Times New Roman" w:hAnsi="Times New Roman" w:cs="Times New Roman"/>
        </w:rPr>
        <w:t xml:space="preserve">financial year covered by audit period identifying the variance and the reasons for the same. This </w:t>
      </w:r>
      <w:r>
        <w:rPr>
          <w:color w:val="333333"/>
          <w:sz w:val="24"/>
          <w:szCs w:val="24"/>
          <w:shd w:val="clear" w:color="auto" w:fill="auto"/>
          <w:rFonts w:ascii="Times New Roman" w:hAnsi="Times New Roman" w:cs="Times New Roman"/>
        </w:rPr>
        <w:t xml:space="preserve">has to be certified by the auditor.</w:t>
      </w:r>
    </w:p>
    <w:p>
      <w:pPr>
        <w:pStyle w:val="PO26"/>
        <w:numPr>
          <w:numId w:val="9"/>
          <w:ilvl w:val="1"/>
        </w:numPr>
        <w:jc w:val="both"/>
        <w:spacing w:lineRule="auto" w:line="275" w:before="120"/>
        <w:contextualSpacing w:val="0"/>
        <w:ind w:left="709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color w:val="333333"/>
          <w:sz w:val="24"/>
          <w:szCs w:val="24"/>
          <w:shd w:val="clear" w:color="auto" w:fill="auto"/>
          <w:rFonts w:ascii="Times New Roman" w:hAnsi="Times New Roman" w:cs="Times New Roman"/>
        </w:rPr>
        <w:t xml:space="preserve">Representation by Management:</w:t>
      </w:r>
      <w:r>
        <w:rPr>
          <w:color w:val="333333"/>
          <w:sz w:val="24"/>
          <w:szCs w:val="24"/>
          <w:shd w:val="clear" w:color="auto" w:fill="auto"/>
          <w:rFonts w:ascii="Times New Roman" w:hAnsi="Times New Roman" w:cs="Times New Roman"/>
        </w:rPr>
        <w:t xml:space="preserve"> The DHS and SHS management should sign the </w:t>
      </w:r>
      <w:r>
        <w:rPr>
          <w:color w:val="333333"/>
          <w:sz w:val="24"/>
          <w:szCs w:val="24"/>
          <w:shd w:val="clear" w:color="auto" w:fill="auto"/>
          <w:rFonts w:ascii="Times New Roman" w:hAnsi="Times New Roman" w:cs="Times New Roman"/>
        </w:rPr>
        <w:t xml:space="preserve">financial statements and provide a written acknowledgment of its responsibility for the preparation </w:t>
      </w:r>
      <w:r>
        <w:rPr>
          <w:color w:val="333333"/>
          <w:sz w:val="24"/>
          <w:szCs w:val="24"/>
          <w:shd w:val="clear" w:color="auto" w:fill="auto"/>
          <w:rFonts w:ascii="Times New Roman" w:hAnsi="Times New Roman" w:cs="Times New Roman"/>
        </w:rPr>
        <w:t xml:space="preserve">and fair presentation of the financial statements and an assertion that the project funds have been </w:t>
      </w:r>
      <w:r>
        <w:rPr>
          <w:color w:val="333333"/>
          <w:sz w:val="24"/>
          <w:szCs w:val="24"/>
          <w:shd w:val="clear" w:color="auto" w:fill="auto"/>
          <w:rFonts w:ascii="Times New Roman" w:hAnsi="Times New Roman" w:cs="Times New Roman"/>
        </w:rPr>
        <w:t xml:space="preserve">expended in accordance with the intended purposes as reflected in the financial statements.</w:t>
      </w:r>
    </w:p>
    <w:p>
      <w:pPr>
        <w:pStyle w:val="PO26"/>
        <w:numPr>
          <w:numId w:val="9"/>
          <w:ilvl w:val="1"/>
        </w:numPr>
        <w:jc w:val="both"/>
        <w:spacing w:lineRule="auto" w:line="275" w:before="120"/>
        <w:contextualSpacing w:val="0"/>
        <w:ind w:left="709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color w:val="333333"/>
          <w:sz w:val="24"/>
          <w:szCs w:val="24"/>
          <w:shd w:val="clear" w:color="auto" w:fill="auto"/>
          <w:rFonts w:ascii="Times New Roman" w:hAnsi="Times New Roman" w:cs="Times New Roman"/>
        </w:rPr>
        <w:t xml:space="preserve">Separate chapter for covid-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19 Emergency Response and Health System Preparedness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(ECRP-I) is attached on Appendix-“F”.</w:t>
      </w:r>
    </w:p>
    <w:p>
      <w:pPr>
        <w:pStyle w:val="PO26"/>
        <w:numPr>
          <w:numId w:val="9"/>
          <w:ilvl w:val="1"/>
        </w:numPr>
        <w:jc w:val="both"/>
        <w:spacing w:lineRule="auto" w:line="275" w:before="120"/>
        <w:contextualSpacing w:val="0"/>
        <w:ind w:left="709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color w:val="333333"/>
          <w:sz w:val="24"/>
          <w:szCs w:val="24"/>
          <w:shd w:val="clear" w:color="auto" w:fill="auto"/>
          <w:rFonts w:ascii="Times New Roman" w:hAnsi="Times New Roman" w:cs="Times New Roman"/>
        </w:rPr>
        <w:t xml:space="preserve">Separate chapter for PM-ABhim 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is attached on Appendix- “G”.</w:t>
      </w:r>
    </w:p>
    <w:p>
      <w:pPr>
        <w:pStyle w:val="PO26"/>
        <w:jc w:val="both"/>
        <w:spacing w:lineRule="auto" w:line="275" w:before="120"/>
        <w:contextualSpacing w:val="0"/>
        <w:ind w:left="709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bookmarkStart w:id="6" w:name="page8"/>
      <w:bookmarkEnd w:id="6"/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12. Financial Monitoring Reports (FMR)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ind w:left="420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In addition to the primary opinion on the financial statements, the auditor is required to audit last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quarter FMR in the new format (quarter ending March) submitted to MoHFW. The auditor should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apply such tests as the auditor considers necessary under the circumstances to satisfy the audit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objective. Where ineligible expenditures are identified as having been included in the financial reports,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these should be separately noted by the auditors. The audit report should include a separate paragraph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commenting on the accuracy and propriety of expenditures included in the financial statements and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FMRs including whether procurement procedures have been followed and the extent to which the GOI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can rely on Quarterly FMRs.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ind w:left="420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In addition to the audit reports, the auditor will prepare a “Management Letter” as per </w:t>
      </w:r>
      <w:r>
        <w:rPr>
          <w:i w:val="1"/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Appendix-D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, in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which the auditor should summaries the observation on the internal control issues (other than those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which materially affect his opinion on the financial statements) as under: -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pStyle w:val="PO26"/>
        <w:numPr>
          <w:numId w:val="40"/>
          <w:ilvl w:val="0"/>
        </w:numPr>
        <w:jc w:val="both"/>
        <w:spacing w:lineRule="auto" w:line="275"/>
        <w:ind w:left="1134" w:firstLine="0"/>
        <w:tabs>
          <w:tab w:val="left" w:pos="1220"/>
        </w:tabs>
        <w:rPr>
          <w:sz w:val="24"/>
          <w:szCs w:val="24"/>
          <w:shd w:val="clear" w:color="auto" w:fill="auto"/>
          <w:rFonts w:ascii="Times New Roman" w:eastAsia="Symbol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Give comments and observations on the accounting records, systems and internal controls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that were examined during the course of the audit;</w:t>
      </w:r>
    </w:p>
    <w:p>
      <w:pPr>
        <w:pStyle w:val="PO26"/>
        <w:numPr>
          <w:numId w:val="40"/>
          <w:ilvl w:val="0"/>
        </w:numPr>
        <w:jc w:val="both"/>
        <w:spacing w:lineRule="auto" w:line="275"/>
        <w:ind w:left="1134" w:firstLine="0"/>
        <w:tabs>
          <w:tab w:val="left" w:pos="1220"/>
        </w:tabs>
        <w:rPr>
          <w:sz w:val="24"/>
          <w:szCs w:val="24"/>
          <w:shd w:val="clear" w:color="auto" w:fill="auto"/>
          <w:rFonts w:ascii="Times New Roman" w:eastAsia="Symbol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Identify specific deficiencies and area of weakness in the system and internal controls and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make recommendations for their improvement;</w:t>
      </w:r>
    </w:p>
    <w:p>
      <w:pPr>
        <w:pStyle w:val="PO26"/>
        <w:numPr>
          <w:numId w:val="40"/>
          <w:ilvl w:val="0"/>
        </w:numPr>
        <w:jc w:val="both"/>
        <w:spacing w:lineRule="auto" w:line="275"/>
        <w:ind w:left="1134" w:firstLine="0"/>
        <w:tabs>
          <w:tab w:val="left" w:pos="1220"/>
        </w:tabs>
        <w:rPr>
          <w:sz w:val="24"/>
          <w:szCs w:val="24"/>
          <w:shd w:val="clear" w:color="auto" w:fill="auto"/>
          <w:rFonts w:ascii="Times New Roman" w:eastAsia="Symbol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Report on the level of compliance with the financial internal control;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Symbol" w:hAnsi="Times New Roman" w:cs="Times New Roman"/>
        </w:rPr>
      </w:pPr>
    </w:p>
    <w:p>
      <w:pPr>
        <w:pStyle w:val="PO26"/>
        <w:numPr>
          <w:numId w:val="40"/>
          <w:ilvl w:val="0"/>
        </w:numPr>
        <w:jc w:val="both"/>
        <w:spacing w:lineRule="auto" w:line="275"/>
        <w:ind w:left="1134" w:firstLine="0"/>
        <w:tabs>
          <w:tab w:val="left" w:pos="1220"/>
        </w:tabs>
        <w:rPr>
          <w:sz w:val="24"/>
          <w:szCs w:val="24"/>
          <w:shd w:val="clear" w:color="auto" w:fill="auto"/>
          <w:rFonts w:ascii="Times New Roman" w:eastAsia="Symbol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Report procurement which have not been carried out as per the procurement manual/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guidelines of the State for the individual programmes such as; RCH-II, NTEP, IDSP etc.;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Symbol" w:hAnsi="Times New Roman" w:cs="Times New Roman"/>
        </w:rPr>
      </w:pPr>
    </w:p>
    <w:p>
      <w:pPr>
        <w:numPr>
          <w:numId w:val="40"/>
          <w:ilvl w:val="0"/>
        </w:numPr>
        <w:jc w:val="both"/>
        <w:spacing w:lineRule="auto" w:line="275"/>
        <w:ind w:left="1134" w:firstLine="0"/>
        <w:tabs>
          <w:tab w:val="left" w:pos="1220"/>
        </w:tabs>
        <w:rPr>
          <w:sz w:val="24"/>
          <w:szCs w:val="24"/>
          <w:shd w:val="clear" w:color="auto" w:fill="auto"/>
          <w:rFonts w:ascii="Times New Roman" w:eastAsia="Symbol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Communicate matters that have come to the attention during the audit which might have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significant impact on the implementation of the project; and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Symbol" w:hAnsi="Times New Roman" w:cs="Times New Roman"/>
        </w:rPr>
      </w:pPr>
    </w:p>
    <w:p>
      <w:pPr>
        <w:numPr>
          <w:numId w:val="40"/>
          <w:ilvl w:val="0"/>
        </w:numPr>
        <w:jc w:val="both"/>
        <w:spacing w:lineRule="auto" w:line="275"/>
        <w:ind w:left="1134" w:firstLine="0"/>
        <w:tabs>
          <w:tab w:val="left" w:pos="1220"/>
        </w:tabs>
        <w:rPr>
          <w:sz w:val="24"/>
          <w:szCs w:val="24"/>
          <w:shd w:val="clear" w:color="auto" w:fill="auto"/>
          <w:rFonts w:ascii="Times New Roman" w:eastAsia="Symbol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Bring to Society’s attention any other matter that the auditor considers pertinent.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ind w:left="420" w:firstLine="0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observations in the management letter must be accompanied by the implications, suggested 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recommendations from the auditors and management comments/ response on the Observations/ 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recommendations have to be obtained and reported along with the Audit report.</w:t>
      </w:r>
    </w:p>
    <w:p>
      <w:pPr>
        <w:jc w:val="both"/>
        <w:spacing w:lineRule="auto" w:line="275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13. Reporting and Timing</w:t>
      </w:r>
    </w:p>
    <w:p>
      <w:pPr>
        <w:jc w:val="both"/>
        <w:spacing w:lineRule="auto" w:line="275"/>
        <w:ind w:left="420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ind w:left="420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final Audit Report should be submitted by 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31</w:t>
      </w:r>
      <w:r>
        <w:rPr>
          <w:vertAlign w:val="superscript"/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st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July 202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  <w:lang/>
        </w:rPr>
        <w:t>4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, (i.e. within four months of the end of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financial year) to the SHS and the SHS should then promptly forward 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3 copies (Spiral Bound) 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and also soft copy in MS Excel / MS Word and Scanned (Both) in mail or CD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along with the 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final 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Utilization Certificates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signed by the State and Auditor both, to GOI with their comments, if any.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bookmarkStart w:id="7" w:name="page9"/>
      <w:bookmarkEnd w:id="7"/>
    </w:p>
    <w:p>
      <w:pPr>
        <w:jc w:val="both"/>
        <w:spacing w:lineRule="auto" w:line="275"/>
        <w:ind w:left="418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In case State has opted to appoint 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multiple auditors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for a group of districts and State, in such cases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Auditor appointed for a group of districts, shall have to issue a separate audit report for each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district and provide a soft copy also (Word/ Excel). Audit Reports for all districts in such cases shall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have to be issued by 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30</w:t>
      </w:r>
      <w:r>
        <w:rPr>
          <w:vertAlign w:val="superscript"/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th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June, 202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  <w:lang/>
        </w:rPr>
        <w:t>4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so that consolidated report of the State is not delayed and issued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by 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31</w:t>
      </w:r>
      <w:r>
        <w:rPr>
          <w:vertAlign w:val="superscript"/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st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July, 202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  <w:lang/>
        </w:rPr>
        <w:t>4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.</w:t>
      </w:r>
    </w:p>
    <w:p>
      <w:pPr>
        <w:jc w:val="both"/>
        <w:spacing w:lineRule="auto" w:line="275"/>
        <w:ind w:left="418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ind w:left="418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Submission of the Statutory Audit Report by the prescribed date is a Record of Proceedings (ROP)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conditionality for release of funds to the State beyond 75% of cash allocation which ultimately ensures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smooth implementation of the Mission and leads to better outcomes as funds are expended when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needed by the State. In view of the above following measures need to be taken by the State: -</w:t>
      </w:r>
    </w:p>
    <w:p>
      <w:pPr>
        <w:pStyle w:val="PO26"/>
        <w:numPr>
          <w:numId w:val="41"/>
          <w:ilvl w:val="0"/>
        </w:numPr>
        <w:jc w:val="both"/>
        <w:spacing w:lineRule="auto" w:line="275" w:before="120"/>
        <w:ind w:left="851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duty of the State is to ensure that the process for appointment of the auditor is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completed by 25</w:t>
      </w:r>
      <w:r>
        <w:rPr>
          <w:vertAlign w:val="superscript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th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April, 202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/>
        </w:rPr>
        <w:t>4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and intimation of the auditor appointed along with the fees fixed &amp;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evaluation sheet for the appointment has to be submitted to the Ministry latest by 5</w:t>
      </w:r>
      <w:r>
        <w:rPr>
          <w:vertAlign w:val="superscript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th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May, 202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/>
        </w:rPr>
        <w:t>4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.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Also timely availability of information to the auditor needs to be ensured strictly.</w:t>
      </w:r>
    </w:p>
    <w:p>
      <w:pPr>
        <w:pStyle w:val="PO26"/>
        <w:numPr>
          <w:numId w:val="41"/>
          <w:ilvl w:val="0"/>
        </w:numPr>
        <w:jc w:val="both"/>
        <w:spacing w:lineRule="auto" w:line="275" w:before="120"/>
        <w:contextualSpacing w:val="0"/>
        <w:ind w:left="850" w:hanging="357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State should make sure that complete cash book, ledgers, vouchers and other financial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statements are ready at the time of visit of auditors.</w:t>
      </w:r>
    </w:p>
    <w:p>
      <w:pPr>
        <w:pStyle w:val="PO26"/>
        <w:numPr>
          <w:numId w:val="41"/>
          <w:ilvl w:val="0"/>
        </w:numPr>
        <w:jc w:val="both"/>
        <w:spacing w:lineRule="auto" w:line="275" w:before="120"/>
        <w:contextualSpacing w:val="0"/>
        <w:ind w:left="850" w:hanging="357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hAnsi="Times New Roman" w:cs="Times New Roman"/>
        </w:rPr>
        <w:t xml:space="preserve">Penal provision on failure to complete the Audit on time: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In order to ensure timeliness on the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part of the Auditor, if the State feels that in spite of providing all information, documents, and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updated books of accounts, there was delay in submission of Audit Report from the auditor, the </w:t>
      </w:r>
      <w:r>
        <w:rPr>
          <w:i w:val="1"/>
          <w:sz w:val="24"/>
          <w:szCs w:val="24"/>
          <w:shd w:val="clear" w:color="auto" w:fill="auto"/>
          <w:rFonts w:ascii="Times New Roman" w:hAnsi="Times New Roman" w:cs="Times New Roman"/>
        </w:rPr>
        <w:t xml:space="preserve">State may deduct the audit fees @ 5% per month from the due date of completion of audit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. A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clause in this regard should be incorporated by the State in the agreement. However, in case of delay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in submitting the audit report due to unforeseen circumstances like flood, earthquake, election, etc..,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the Mission Director(NHM) of the State has the right to waive off the penalty. Further, before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imposing penalty, the firm may be given an opportunity to be heard.</w:t>
      </w:r>
    </w:p>
    <w:p>
      <w:pPr>
        <w:pStyle w:val="PO26"/>
        <w:spacing w:lineRule="auto" w:line="275"/>
        <w:rPr>
          <w:sz w:val="24"/>
          <w:szCs w:val="24"/>
          <w:shd w:val="clear" w:color="auto" w:fill="auto"/>
          <w:rFonts w:ascii="Times New Roman" w:hAnsi="Times New Roman" w:cs="Times New Roman"/>
        </w:rPr>
      </w:pPr>
    </w:p>
    <w:p>
      <w:pPr>
        <w:pStyle w:val="PO26"/>
        <w:spacing w:lineRule="auto" w:line="275"/>
        <w:rPr>
          <w:sz w:val="24"/>
          <w:szCs w:val="24"/>
          <w:shd w:val="clear" w:color="auto" w:fill="auto"/>
          <w:rFonts w:ascii="Times New Roman" w:hAnsi="Times New Roman" w:cs="Times New Roman"/>
        </w:rPr>
      </w:pPr>
    </w:p>
    <w:p>
      <w:pPr>
        <w:pStyle w:val="PO26"/>
        <w:spacing w:lineRule="auto" w:line="275"/>
        <w:rPr>
          <w:sz w:val="24"/>
          <w:szCs w:val="24"/>
          <w:shd w:val="clear" w:color="auto" w:fill="auto"/>
          <w:rFonts w:ascii="Times New Roman" w:hAnsi="Times New Roman" w:cs="Times New Roman"/>
        </w:rPr>
      </w:pPr>
    </w:p>
    <w:p>
      <w:pPr>
        <w:pStyle w:val="PO26"/>
        <w:numPr>
          <w:numId w:val="14"/>
          <w:ilvl w:val="0"/>
        </w:numPr>
        <w:jc w:val="both"/>
        <w:spacing w:lineRule="auto" w:line="275"/>
        <w:ind w:left="270" w:firstLine="0"/>
        <w:tabs>
          <w:tab w:val="left" w:pos="358"/>
        </w:tabs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Additional Instructions to Auditors</w:t>
      </w:r>
    </w:p>
    <w:p>
      <w:pPr>
        <w:spacing w:lineRule="auto" w:line="275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14"/>
          <w:ilvl w:val="1"/>
        </w:numPr>
        <w:jc w:val="both"/>
        <w:spacing w:lineRule="auto" w:line="275"/>
        <w:ind w:left="838" w:hanging="430"/>
        <w:tabs>
          <w:tab w:val="left" w:pos="838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Audit Report of the SHS shall include audit of all the transactions at the State as well as DHSs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level.</w:t>
      </w:r>
    </w:p>
    <w:p>
      <w:pP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14"/>
          <w:ilvl w:val="1"/>
        </w:numPr>
        <w:jc w:val="both"/>
        <w:spacing w:lineRule="auto" w:line="275" w:before="120"/>
        <w:ind w:left="839" w:hanging="431"/>
        <w:tabs>
          <w:tab w:val="left" w:pos="838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Audit for the financial year will include all the components under NHM.</w:t>
      </w:r>
    </w:p>
    <w:p>
      <w:pP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14"/>
          <w:ilvl w:val="1"/>
        </w:numPr>
        <w:jc w:val="both"/>
        <w:spacing w:lineRule="auto" w:line="275" w:before="120"/>
        <w:ind w:left="839" w:hanging="431"/>
        <w:tabs>
          <w:tab w:val="left" w:pos="838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auditor appointed shall be 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required to issue Consolidated Audit Report for the State and 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each District, comprising all programmes under Flexible Pool for RCH &amp; Health System 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Strengthening, National Health Programme and Urban Health Mission. </w:t>
      </w:r>
    </w:p>
    <w:p>
      <w:pPr>
        <w:pStyle w:val="PO26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14"/>
          <w:ilvl w:val="1"/>
        </w:numPr>
        <w:jc w:val="both"/>
        <w:spacing w:lineRule="auto" w:line="275" w:before="120"/>
        <w:ind w:left="839" w:hanging="431"/>
        <w:tabs>
          <w:tab w:val="left" w:pos="838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All State level report shall have to be issued in three sets (Two sets for MoHFW and one set for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State). Consolidated Report is to be sent to NHM-Finance Division and individual reports of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individual programmes along with UCs to the respective programme divisions of the Ministry).</w:t>
      </w:r>
    </w:p>
    <w:p>
      <w:pPr>
        <w:numPr>
          <w:numId w:val="14"/>
          <w:ilvl w:val="1"/>
        </w:numPr>
        <w:jc w:val="both"/>
        <w:spacing w:lineRule="auto" w:line="275" w:before="120"/>
        <w:ind w:left="839" w:hanging="431"/>
        <w:tabs>
          <w:tab w:val="left" w:pos="838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Financial Statements and relevant schedules shall be prepared in accordance with the format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provided by Ministry of Health and Family Welfare, GOI (</w:t>
      </w:r>
      <w:r>
        <w:rPr>
          <w:i w:val="1"/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APPENDIX-A -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FORMAT of 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FINANCIAL STATEMENTS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). However, specific programme requirements (in accordance with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agreement with the GOI and Development Partners) may also be incorporated in the separate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schedule of the programme.</w:t>
      </w:r>
    </w:p>
    <w:p>
      <w:pPr>
        <w:numPr>
          <w:numId w:val="14"/>
          <w:ilvl w:val="1"/>
        </w:numPr>
        <w:jc w:val="both"/>
        <w:spacing w:lineRule="auto" w:line="275" w:before="120"/>
        <w:ind w:left="839" w:hanging="431"/>
        <w:tabs>
          <w:tab w:val="left" w:pos="838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Auditor shall certify all the UCs in the prescribed format (Form 12C of GFR, 2017) of GOI for all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programmes of NHM. The UCs shall be furnished sanction-wise and should be signed by the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Principal Secretary, Mission Director, State Programme Officers in charge of concerned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Programme and the Auditor.</w:t>
      </w:r>
    </w:p>
    <w:p>
      <w:pPr>
        <w:numPr>
          <w:numId w:val="15"/>
          <w:ilvl w:val="2"/>
        </w:numPr>
        <w:jc w:val="both"/>
        <w:spacing w:lineRule="auto" w:line="275" w:before="120"/>
        <w:ind w:left="1043" w:hanging="617"/>
        <w:tabs>
          <w:tab w:val="left" w:pos="851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bookmarkStart w:id="8" w:name="page10"/>
      <w:bookmarkEnd w:id="8"/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auditor shall also append the Checklist (</w:t>
      </w:r>
      <w:r>
        <w:rPr>
          <w:i w:val="1"/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APPENDIX-B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-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CHECKLIST FOR AUDITOR)</w:t>
      </w:r>
    </w:p>
    <w:p>
      <w:pPr>
        <w:numPr>
          <w:numId w:val="16"/>
          <w:ilvl w:val="1"/>
        </w:numPr>
        <w:jc w:val="both"/>
        <w:spacing w:lineRule="auto" w:line="275" w:before="120"/>
        <w:ind w:left="851" w:hanging="425"/>
        <w:tabs>
          <w:tab w:val="left" w:pos="851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auditor shall certify the FMR on the basis of audited expenditures with all the line activities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for the last quarter (quarter ending March 202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/>
        </w:rPr>
        <w:t>4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) showing cumulative and head wise expenditure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for the complete financial year) along with the Audited Statement of Accounts. Auditor shall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certify a comparative statement showing expenditure as per FMR and as per Audit Report.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Auditor must also document the reason for variances between the FMR figures and audited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figures in cases where the variances are significant e.g. more than 15% from the audited figures at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each component level.</w:t>
      </w:r>
    </w:p>
    <w:p>
      <w:pPr>
        <w:numPr>
          <w:numId w:val="16"/>
          <w:ilvl w:val="1"/>
        </w:numPr>
        <w:jc w:val="both"/>
        <w:spacing w:lineRule="auto" w:line="275" w:before="120"/>
        <w:ind w:left="1043" w:hanging="431"/>
        <w:tabs>
          <w:tab w:val="left" w:pos="1045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Audit Opinion as per the Model Format provided at </w:t>
      </w:r>
      <w:r>
        <w:rPr>
          <w:i w:val="1"/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APPENDIX–C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.</w:t>
      </w:r>
    </w:p>
    <w:p>
      <w:pPr>
        <w:numPr>
          <w:numId w:val="16"/>
          <w:ilvl w:val="1"/>
        </w:numPr>
        <w:jc w:val="both"/>
        <w:spacing w:lineRule="auto" w:line="275" w:before="120"/>
        <w:ind w:left="1043" w:hanging="431"/>
        <w:tabs>
          <w:tab w:val="left" w:pos="1045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Management Letter as per </w:t>
      </w:r>
      <w:r>
        <w:rPr>
          <w:i w:val="1"/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APPENDIX–D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along with the comments/reply of the Mission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Director, SHS.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tabs>
          <w:tab w:val="left" w:pos="425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15.Re-appointment of Auditor: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auditor once appointed can continue for only two more years,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subject to the satisfaction of the performance by the State. In case where extension/continuation of same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auditor is sought for this extended duration beyond the initial year of appointment, yearly approval of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Executive Committee shall be taken after obtaining the consent of the auditor and confirming that the said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firm is in the panel of C&amp;AG and eligible for conducting audit of major PSUs for the year for which the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firm is being re-appointed. In no case shall continuation beyond this additional period of 2 years be granted.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Further, any comments/remarks/observation of the Ministry in this regard shall have to be taken into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account while re-appointing the same auditor.</w:t>
      </w:r>
    </w:p>
    <w:p>
      <w:pPr>
        <w:jc w:val="both"/>
        <w:spacing w:lineRule="auto" w:line="275"/>
        <w:tabs>
          <w:tab w:val="left" w:pos="425"/>
        </w:tabs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It is also clarified that “</w:t>
      </w:r>
      <w:r>
        <w:rPr>
          <w:b w:val="1"/>
          <w:sz w:val="24"/>
          <w:szCs w:val="24"/>
          <w:shd w:val="clear" w:color="auto" w:fill="auto"/>
          <w:rFonts w:ascii="Times New Roman" w:hAnsi="Times New Roman" w:cs="Times New Roman"/>
        </w:rPr>
        <w:t xml:space="preserve">No auditor can take the assignment of more than three (3) audits under </w:t>
      </w:r>
      <w:r>
        <w:rPr>
          <w:b w:val="1"/>
          <w:sz w:val="24"/>
          <w:szCs w:val="24"/>
          <w:shd w:val="clear" w:color="auto" w:fill="auto"/>
          <w:rFonts w:ascii="Times New Roman" w:hAnsi="Times New Roman" w:cs="Times New Roman"/>
        </w:rPr>
        <w:t xml:space="preserve">NHM. A certification in this regard may be obtained from the auditor.”</w:t>
      </w:r>
    </w:p>
    <w:p>
      <w:pPr>
        <w:jc w:val="both"/>
        <w:spacing w:lineRule="auto" w:line="275"/>
        <w:tabs>
          <w:tab w:val="left" w:pos="425"/>
        </w:tabs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tabs>
          <w:tab w:val="left" w:pos="425"/>
        </w:tabs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16. General Provision: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State should ensure that the Auditor must be appointed for all the disease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control programmes under NHM and Uniform Accounting System is followed. The State should also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ensure that the auditor should follow the latest formats given in the RFP.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auditor shall be given access to any information relevant for the purpose of conducting the audit, in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addition to all financial and procurement records, SPIPs, AWPs, MOU/LOU signed between MoHFW and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State/ SHS, instructions issued by MoHFW regarding scheme guidelines (e.g. JSY etc.), administrative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orders issued by the SHS/ DOHFW/ Directorate of Health including cost norms etc. Where programs are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financed by Development Partners, copies of the legal agreement, project appraisal document should be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made available to the auditors.</w:t>
      </w:r>
      <w:bookmarkStart w:id="9" w:name="page11"/>
      <w:bookmarkEnd w:id="9"/>
    </w:p>
    <w:p>
      <w:pPr>
        <w:jc w:val="both"/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  <w:t xml:space="preserve">Guidelines for Submitting the Proposals: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ind w:left="360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Agencies are required to submit the proposal as per the guidelines and formats detailed out in the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following paras: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18"/>
          <w:ilvl w:val="0"/>
        </w:numPr>
        <w:jc w:val="both"/>
        <w:spacing w:lineRule="auto" w:line="275"/>
        <w:ind w:left="720" w:hanging="488"/>
        <w:tabs>
          <w:tab w:val="left" w:pos="720"/>
        </w:tabs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original and all copies of the Technical Proposal shall be placed in a sealed envelope clearly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marked “TECHNICAL PROPOSAL” Similarly, the original Financial Proposal shall be placed in a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separate sealed envelope clearly marked “FINANCIAL PROPOSAL” followed by the name of the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assignment and with a warning “DO NOT OPEN WITH THE TECHNICAL PROPOSAL.” The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envelopes containing the Technical and Financial Proposals shall be placed into an outer envelope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and sealed. This outer envelope shall bear the submission address, reference number and title of the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Assignment, and be clearly marked “DO NOT OPEN, EXCEPT IN PRESENCE OF THE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OFFICIAL APPOINTED.  The Society shall not be responsible for misplacement, loss or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premature opening if the outer envelope is not sealed and/or marked as stipulated. This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circumstance may provide a case for Proposal’s/ bid’s rejection. If the Financial Proposal is not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submitted in a separate sealed envelope duly marked as indicated above, this shall constitute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ground for declaring the Proposal non-responsive/ invalid.</w:t>
      </w:r>
    </w:p>
    <w:p>
      <w:pPr>
        <w:spacing w:lineRule="auto" w:line="275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18"/>
          <w:ilvl w:val="0"/>
        </w:numPr>
        <w:jc w:val="both"/>
        <w:spacing w:lineRule="auto" w:line="275"/>
        <w:ind w:left="720" w:hanging="556"/>
        <w:tabs>
          <w:tab w:val="left" w:pos="720"/>
        </w:tabs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Single Proposal (Multiple Firms): In case State decides to appoint more than one CA firm as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auditor, the Bidding CA firm may submit proposal for State and also for one Group of districts.</w:t>
      </w:r>
    </w:p>
    <w:p>
      <w:pPr>
        <w:spacing w:lineRule="auto" w:line="275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18"/>
          <w:ilvl w:val="0"/>
        </w:numPr>
        <w:jc w:val="both"/>
        <w:spacing w:lineRule="auto" w:line="275"/>
        <w:ind w:left="720" w:hanging="620"/>
        <w:tabs>
          <w:tab w:val="left" w:pos="720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All agencies must comply with the Technical Specification, General Conditions and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Format/Requirements for Technical and Financial proposal.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18"/>
          <w:ilvl w:val="0"/>
        </w:numPr>
        <w:jc w:val="both"/>
        <w:spacing w:lineRule="auto" w:line="275"/>
        <w:ind w:left="720" w:hanging="608"/>
        <w:tabs>
          <w:tab w:val="left" w:pos="720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Technical Proposal shall be marked “ORIGINAL” or “COPY” as appropriate. All required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copies of the Technical Proposal are to be made from the original. If there are discrepancies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between the original and the copies of the Technical Proposal, the original governs.</w:t>
      </w:r>
    </w:p>
    <w:p>
      <w:pPr>
        <w:numPr>
          <w:numId w:val="18"/>
          <w:ilvl w:val="0"/>
        </w:numPr>
        <w:jc w:val="both"/>
        <w:spacing w:lineRule="auto" w:line="275"/>
        <w:ind w:left="720" w:hanging="541"/>
        <w:tabs>
          <w:tab w:val="left" w:pos="720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Financial proposals submitted by the firm should be valid for 6 months from the date of submission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of the proposal by the firm.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18"/>
          <w:ilvl w:val="0"/>
        </w:numPr>
        <w:jc w:val="both"/>
        <w:spacing w:lineRule="auto" w:line="275"/>
        <w:ind w:left="720" w:hanging="608"/>
        <w:tabs>
          <w:tab w:val="left" w:pos="720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Each page, Form, Annexure and Appendices of the Technical and Financial Proposal must be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signed by the Authorized signatory of the firm.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19"/>
          <w:ilvl w:val="0"/>
        </w:numPr>
        <w:jc w:val="both"/>
        <w:spacing w:lineRule="auto" w:line="275"/>
        <w:ind w:left="740" w:hanging="676"/>
        <w:tabs>
          <w:tab w:val="left" w:pos="740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bookmarkStart w:id="10" w:name="page12"/>
      <w:bookmarkEnd w:id="10"/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All blank spaces in the financial proposal must be filled in completely where indicated, either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typed or written in ink.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19"/>
          <w:ilvl w:val="0"/>
        </w:numPr>
        <w:jc w:val="both"/>
        <w:spacing w:lineRule="auto" w:line="275"/>
        <w:ind w:left="740" w:hanging="740"/>
        <w:tabs>
          <w:tab w:val="left" w:pos="740"/>
        </w:tabs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State Health Society (SHS) reserves the right to accept or reject any proposal without giving 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any explanation and can change the evaluation criteria as per its requirements in the interest 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of the organization.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19"/>
          <w:ilvl w:val="0"/>
        </w:numPr>
        <w:jc w:val="both"/>
        <w:spacing w:lineRule="auto" w:line="275"/>
        <w:ind w:left="740" w:hanging="608"/>
        <w:tabs>
          <w:tab w:val="left" w:pos="740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If the required constitution of the team is not deployed the state may take appropriate action as it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deems fit (including blacklisting of the firm) against the firm, keeping the Ministry informed.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19"/>
          <w:ilvl w:val="0"/>
        </w:numPr>
        <w:jc w:val="both"/>
        <w:spacing w:lineRule="auto" w:line="275"/>
        <w:ind w:left="740" w:hanging="541"/>
        <w:tabs>
          <w:tab w:val="left" w:pos="740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 firm cannot undertake the audit assignments of more than three states in a year. The audit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assignment must be opted for as awarded by States chronologically i.e. on First come first served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basis. If a CA Firm appointed in more than 3 States, then they have to withdraw their name so as to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keep it up to 3 States/ UTs only. As a State may opt to appoint multiple auditors, therefore, if a firm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appointed for audit of a group of district in any State then for the purpose of ceiling of 3 States,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group of Districts shall be taken as a State.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19"/>
          <w:ilvl w:val="0"/>
        </w:numPr>
        <w:jc w:val="both"/>
        <w:spacing w:lineRule="auto" w:line="275"/>
        <w:ind w:left="740" w:hanging="608"/>
        <w:tabs>
          <w:tab w:val="left" w:pos="740"/>
        </w:tabs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firm shall give an undertaking that the team members are proficient in the State’s official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language (both oral and written).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The auditors must have the H.O/ Branch Office in the allotted 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State. (Form U).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However, in case if NE States/ UTs where availability of Auditor is scare, the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States/UT may consider the proposals of audit firms from the neighboring States</w:t>
      </w:r>
    </w:p>
    <w:p>
      <w:pPr>
        <w:pStyle w:val="PO26"/>
        <w:spacing w:lineRule="auto" w:line="275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19"/>
          <w:ilvl w:val="0"/>
        </w:numPr>
        <w:jc w:val="both"/>
        <w:spacing w:lineRule="auto" w:line="275"/>
        <w:ind w:left="740" w:hanging="676"/>
        <w:tabs>
          <w:tab w:val="left" w:pos="740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Firm shall have to depute appropriate no. of teams for timely submission of Audit Report and to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attain quality of audit.</w:t>
      </w:r>
    </w:p>
    <w:p>
      <w:pPr>
        <w:numPr>
          <w:numId w:val="19"/>
          <w:ilvl w:val="0"/>
        </w:numPr>
        <w:jc w:val="both"/>
        <w:spacing w:lineRule="auto" w:line="275"/>
        <w:ind w:left="740" w:hanging="740"/>
        <w:tabs>
          <w:tab w:val="left" w:pos="740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Each team shall have to be headed by a qualified chartered accountant.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ind w:left="740" w:firstLine="0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ind w:left="740" w:firstLine="0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Technical &amp; Financial Proposal will consist: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20"/>
          <w:ilvl w:val="0"/>
        </w:numPr>
        <w:jc w:val="both"/>
        <w:spacing w:lineRule="auto" w:line="275"/>
        <w:ind w:left="740" w:hanging="488"/>
        <w:tabs>
          <w:tab w:val="left" w:pos="740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Letter of Transmittal </w:t>
      </w:r>
      <w:r>
        <w:rPr>
          <w:i w:val="1"/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(Form T-1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)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20"/>
          <w:ilvl w:val="0"/>
        </w:numPr>
        <w:jc w:val="both"/>
        <w:spacing w:lineRule="auto" w:line="275"/>
        <w:ind w:left="740" w:hanging="556"/>
        <w:tabs>
          <w:tab w:val="left" w:pos="740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Technical Proposal format (</w:t>
      </w:r>
      <w:r>
        <w:rPr>
          <w:i w:val="1"/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Form T-2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)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20"/>
          <w:ilvl w:val="0"/>
        </w:numPr>
        <w:jc w:val="both"/>
        <w:spacing w:lineRule="auto" w:line="275"/>
        <w:ind w:left="740" w:hanging="620"/>
        <w:tabs>
          <w:tab w:val="left" w:pos="740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Financial Bid format (</w:t>
      </w:r>
      <w:r>
        <w:rPr>
          <w:i w:val="1"/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Form F-1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)</w:t>
      </w:r>
    </w:p>
    <w:p>
      <w:pPr>
        <w:pStyle w:val="PO26"/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numPr>
          <w:numId w:val="20"/>
          <w:ilvl w:val="0"/>
        </w:numPr>
        <w:jc w:val="both"/>
        <w:spacing w:lineRule="auto" w:line="275"/>
        <w:ind w:left="740" w:hanging="620"/>
        <w:tabs>
          <w:tab w:val="left" w:pos="740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Undertaking of presence of HO/Branch offices in State (</w:t>
      </w:r>
      <w:r>
        <w:rPr>
          <w:i w:val="1"/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Form U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)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  <w:bookmarkStart w:id="11" w:name="page13"/>
      <w:bookmarkEnd w:id="11"/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  <w:t xml:space="preserve">Form T-1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ind w:left="3600" w:firstLine="0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  <w:t xml:space="preserve">Letter of Transmittal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To,</w:t>
      </w:r>
    </w:p>
    <w:p>
      <w:pP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Mission Director,</w:t>
      </w:r>
    </w:p>
    <w:p>
      <w:pP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State Health Society,</w:t>
      </w:r>
    </w:p>
    <w:p>
      <w:pP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Name &amp; Address of State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Sir,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ind w:firstLine="72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We, the undersigned, offer to provide the audit services for [</w:t>
      </w:r>
      <w:r>
        <w:rPr>
          <w:i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Name of State Health Society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] in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accordance with your Request for Proposal dated [</w:t>
      </w:r>
      <w:r>
        <w:rPr>
          <w:i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Insert Date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]. We are here by submitting our Proposal,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having details about the firm and proposed audit fees.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ind w:firstLine="72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We hereby declare that all the information and statements made in this Proposal are true and accept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that any mis-interpretation contained in it may lead to our disqualification.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ind w:firstLine="708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Fees quoted by us is valid till six months from the date of submission of the proposal. We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confirm that this proposal will remain binding upon us and may be accepted by you at any time before the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expiry date.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ind w:firstLine="708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Prices have been arrived independently without consultation, communication, agreement or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understanding (for the purpose of restricting competition) with any competitor.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ind w:firstLine="708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We agree to bear all costs incurred by us in connection with the preparation and submission of the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proposal and to bear any further pre-contract costs.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ind w:firstLine="708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We understand that State Health Society [</w:t>
      </w:r>
      <w:r>
        <w:rPr>
          <w:i w:val="1"/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Insert Name of the State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] is not bound to accept the 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lowest or any proposal or to give any reason for award, or for the rejection of any proposal.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ind w:firstLine="708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I confirm that I have authority of [</w:t>
      </w:r>
      <w:r>
        <w:rPr>
          <w:i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Insert Name of the C.A. Firm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] to submit the proposal and to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negotiate on its behalf.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ind w:left="7800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Yours faithfully,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ind w:left="7280" w:firstLine="0"/>
        <w:tabs>
          <w:tab w:val="left" w:pos="9300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(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ab/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)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tbl>
      <w:tblID w:val="0"/>
      <w:tblPr>
        <w:tblCellMar>
          <w:left w:w="0" w:type="dxa"/>
          <w:top w:w="0" w:type="dxa"/>
          <w:right w:w="0" w:type="dxa"/>
          <w:bottom w:w="0" w:type="dxa"/>
        </w:tblCellMar>
        <w:tblW w:w="9197" w:type="dxa"/>
        <w:tblInd w:w="91" w:type="dxa"/>
        <w:tblLook w:val="0004A0" w:firstRow="1" w:lastRow="0" w:firstColumn="1" w:lastColumn="0" w:noHBand="0" w:noVBand="1"/>
        <w:tblLayout w:type="fixed"/>
      </w:tblPr>
      <w:tblGrid>
        <w:gridCol w:w="856"/>
        <w:gridCol w:w="3931"/>
        <w:gridCol w:w="769"/>
        <w:gridCol w:w="3641"/>
      </w:tblGrid>
      <w:tr>
        <w:trPr>
          <w:trHeight w:hRule="atleast" w:val="315"/>
        </w:trPr>
        <w:tc>
          <w:tcPr>
            <w:tcW w:type="dxa" w:w="856"/>
            <w:tcMar>
              <w:left w:w="108" w:type="dxa"/>
              <w:right w:w="108" w:type="dxa"/>
            </w:tcMar>
            <w:vAlign w:val="center"/>
            <w:tcBorders>
              <w:bottom w:val="nil" w:color="auto"/>
              <w:left w:val="nil" w:color="auto"/>
              <w:right w:val="nil" w:color="auto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bookmarkStart w:id="12" w:name="page14"/>
            <w:bookmarkEnd w:id="12"/>
          </w:p>
        </w:tc>
        <w:tc>
          <w:tcPr>
            <w:tcW w:type="dxa" w:w="4700"/>
            <w:tcMar>
              <w:left w:w="108" w:type="dxa"/>
              <w:right w:w="108" w:type="dxa"/>
            </w:tcMar>
            <w:vAlign w:val="center"/>
            <w:gridSpan w:val="2"/>
            <w:tcBorders>
              <w:bottom w:val="nil" w:color="auto"/>
              <w:left w:val="nil" w:color="auto"/>
              <w:right w:val="nil" w:color="auto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</w:p>
        </w:tc>
        <w:tc>
          <w:tcPr>
            <w:tcW w:type="dxa" w:w="3641"/>
            <w:tcMar>
              <w:left w:w="108" w:type="dxa"/>
              <w:right w:w="108" w:type="dxa"/>
            </w:tcMar>
            <w:vAlign w:val="center"/>
            <w:tcBorders>
              <w:bottom w:val="nil" w:color="auto"/>
              <w:left w:val="nil" w:color="auto"/>
              <w:right w:val="nil" w:color="auto"/>
              <w:top w:val="nil" w:color="auto"/>
            </w:tcBorders>
            <w:shd w:val="clear" w:color="000000"/>
          </w:tcPr>
          <w:p>
            <w:pPr>
              <w:jc w:val="right"/>
              <w:spacing w:lineRule="auto" w:line="275"/>
              <w:rPr>
                <w:b w:val="1"/>
                <w:color w:val="000000"/>
                <w:sz w:val="24"/>
                <w:szCs w:val="24"/>
                <w:u w:val="single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b w:val="1"/>
                <w:color w:val="000000"/>
                <w:sz w:val="24"/>
                <w:szCs w:val="24"/>
                <w:u w:val="single"/>
                <w:shd w:val="clear" w:color="auto" w:fill="auto"/>
                <w:rFonts w:ascii="Times New Roman" w:eastAsia="Times New Roman" w:hAnsi="Times New Roman" w:cs="Times New Roman"/>
              </w:rPr>
              <w:t xml:space="preserve">Form T-2</w:t>
            </w:r>
          </w:p>
        </w:tc>
      </w:tr>
      <w:tr>
        <w:trPr>
          <w:trHeight w:hRule="atleast" w:val="315"/>
        </w:trPr>
        <w:tc>
          <w:tcPr>
            <w:tcW w:type="dxa" w:w="856"/>
            <w:tcMar>
              <w:left w:w="108" w:type="dxa"/>
              <w:right w:w="108" w:type="dxa"/>
            </w:tcMar>
            <w:vAlign w:val="center"/>
            <w:tcBorders>
              <w:bottom w:val="nil" w:color="auto"/>
              <w:left w:val="nil" w:color="auto"/>
              <w:right w:val="nil" w:color="auto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</w:p>
        </w:tc>
        <w:tc>
          <w:tcPr>
            <w:tcW w:type="dxa" w:w="8341"/>
            <w:tcMar>
              <w:left w:w="108" w:type="dxa"/>
              <w:right w:w="108" w:type="dxa"/>
            </w:tcMar>
            <w:vAlign w:val="center"/>
            <w:gridSpan w:val="3"/>
            <w:tcBorders>
              <w:bottom w:val="nil" w:color="auto"/>
              <w:left w:val="nil" w:color="auto"/>
              <w:right w:val="nil" w:color="auto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b w:val="1"/>
                <w:color w:val="000000"/>
                <w:sz w:val="24"/>
                <w:szCs w:val="24"/>
                <w:u w:val="single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b w:val="1"/>
                <w:color w:val="000000"/>
                <w:sz w:val="24"/>
                <w:szCs w:val="24"/>
                <w:u w:val="single"/>
                <w:shd w:val="clear" w:color="auto" w:fill="auto"/>
                <w:rFonts w:ascii="Times New Roman" w:eastAsia="Times New Roman" w:hAnsi="Times New Roman" w:cs="Times New Roman"/>
              </w:rPr>
              <w:t xml:space="preserve">Format for Technical Proposal</w:t>
            </w:r>
            <w:r>
              <w:rPr>
                <w:b w:val="1"/>
                <w:color w:val="000000"/>
                <w:sz w:val="24"/>
                <w:szCs w:val="24"/>
                <w:u w:val="single"/>
                <w:shd w:val="clear" w:color="auto" w:fill="auto"/>
                <w:rFonts w:ascii="Times New Roman" w:eastAsia="Times New Roman" w:hAnsi="Times New Roman" w:cs="Times New Roman"/>
              </w:rPr>
              <w:br/>
            </w:r>
          </w:p>
        </w:tc>
      </w:tr>
      <w:tr>
        <w:trPr>
          <w:trHeight w:hRule="atleast" w:val="630"/>
        </w:trPr>
        <w:tc>
          <w:tcPr>
            <w:tcW w:type="dxa" w:w="856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single" w:color="auto" w:sz="4"/>
              <w:right w:val="single" w:color="auto" w:sz="4"/>
              <w:top w:val="single" w:color="auto" w:sz="4"/>
            </w:tcBorders>
            <w:shd w:val="clear" w:color="000000"/>
          </w:tcPr>
          <w:p>
            <w:pPr>
              <w:jc w:val="center"/>
              <w:spacing w:lineRule="auto" w:line="275"/>
              <w:rPr>
                <w:b w:val="1"/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b w:val="1"/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Sl. </w:t>
            </w:r>
            <w:r>
              <w:rPr>
                <w:b w:val="1"/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No.</w:t>
            </w:r>
          </w:p>
        </w:tc>
        <w:tc>
          <w:tcPr>
            <w:tcW w:type="dxa" w:w="393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single" w:color="auto" w:sz="4"/>
            </w:tcBorders>
            <w:shd w:val="clear" w:color="000000"/>
          </w:tcPr>
          <w:p>
            <w:pPr>
              <w:jc w:val="center"/>
              <w:spacing w:lineRule="auto" w:line="275"/>
              <w:rPr>
                <w:b w:val="1"/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b w:val="1"/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PARTICULARS</w:t>
            </w:r>
          </w:p>
        </w:tc>
        <w:tc>
          <w:tcPr>
            <w:tcW w:type="dxa" w:w="4410"/>
            <w:tcMar>
              <w:left w:w="108" w:type="dxa"/>
              <w:right w:w="108" w:type="dxa"/>
            </w:tcMar>
            <w:vAlign w:val="center"/>
            <w:gridSpan w:val="2"/>
            <w:tcBorders>
              <w:bottom w:val="single" w:color="auto" w:sz="4"/>
              <w:left w:val="nil" w:color="auto"/>
              <w:right w:val="single" w:color="auto" w:sz="4"/>
              <w:top w:val="single" w:color="auto" w:sz="4"/>
            </w:tcBorders>
            <w:shd w:val="clear" w:color="000000"/>
          </w:tcPr>
          <w:p>
            <w:pPr>
              <w:jc w:val="center"/>
              <w:spacing w:lineRule="auto" w:line="275"/>
              <w:ind w:firstLine="241"/>
              <w:rPr>
                <w:b w:val="1"/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b w:val="1"/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Supporting Documents required to be </w:t>
            </w:r>
            <w:r>
              <w:rPr>
                <w:b w:val="1"/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submitted along with this Form</w:t>
            </w:r>
          </w:p>
        </w:tc>
      </w:tr>
      <w:tr>
        <w:trPr>
          <w:trHeight w:hRule="atleast" w:val="330"/>
        </w:trPr>
        <w:tc>
          <w:tcPr>
            <w:tcW w:type="dxa" w:w="856"/>
            <w:tcMar>
              <w:left w:w="108" w:type="dxa"/>
              <w:right w:w="108" w:type="dxa"/>
            </w:tcMar>
            <w:vAlign w:val="center"/>
            <w:tcBorders>
              <w:bottom w:val="nil" w:color="auto"/>
              <w:left w:val="single" w:color="auto" w:sz="8"/>
              <w:right w:val="single" w:color="auto" w:sz="8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type="dxa" w:w="3931"/>
            <w:tcMar>
              <w:left w:w="108" w:type="dxa"/>
              <w:right w:w="108" w:type="dxa"/>
            </w:tcMar>
            <w:vAlign w:val="center"/>
            <w:tcBorders>
              <w:bottom w:val="nil" w:color="auto"/>
              <w:left w:val="nil" w:color="auto"/>
              <w:right w:val="nil" w:color="auto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Name of the Firm</w:t>
            </w:r>
          </w:p>
        </w:tc>
        <w:tc>
          <w:tcPr>
            <w:tcW w:type="dxa" w:w="4410"/>
            <w:tcMar>
              <w:left w:w="108" w:type="dxa"/>
              <w:right w:w="108" w:type="dxa"/>
            </w:tcMar>
            <w:vAlign w:val="center"/>
            <w:gridSpan w:val="2"/>
            <w:tcBorders>
              <w:bottom w:val="nil" w:color="auto"/>
              <w:left w:val="single" w:color="auto" w:sz="4"/>
              <w:right w:val="single" w:color="auto" w:sz="4"/>
              <w:top w:val="single" w:color="auto" w:sz="4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</w:p>
        </w:tc>
      </w:tr>
      <w:tr>
        <w:trPr>
          <w:trHeight w:hRule="atleast" w:val="315"/>
        </w:trPr>
        <w:tc>
          <w:tcPr>
            <w:tcW w:type="dxa" w:w="856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single" w:color="auto" w:sz="8"/>
              <w:right w:val="single" w:color="auto" w:sz="4"/>
              <w:top w:val="single" w:color="auto" w:sz="8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type="dxa" w:w="393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single" w:color="auto" w:sz="8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Addresses of the Firm:</w:t>
            </w:r>
          </w:p>
        </w:tc>
        <w:tc>
          <w:tcPr>
            <w:tcW w:type="dxa" w:w="4410"/>
            <w:tcMar>
              <w:left w:w="108" w:type="dxa"/>
              <w:right w:w="108" w:type="dxa"/>
            </w:tcMar>
            <w:vAlign w:val="center"/>
            <w:gridSpan w:val="2"/>
            <w:tcBorders>
              <w:bottom w:val="single" w:color="auto" w:sz="4"/>
              <w:left w:val="nil" w:color="auto"/>
              <w:right w:val="single" w:color="auto" w:sz="4"/>
              <w:top w:val="single" w:color="auto" w:sz="8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</w:p>
        </w:tc>
      </w:tr>
      <w:tr>
        <w:trPr>
          <w:trHeight w:hRule="atleast" w:val="315"/>
        </w:trPr>
        <w:tc>
          <w:tcPr>
            <w:tcW w:type="dxa" w:w="856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single" w:color="auto" w:sz="8"/>
              <w:right w:val="single" w:color="auto" w:sz="4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</w:p>
        </w:tc>
        <w:tc>
          <w:tcPr>
            <w:tcW w:type="dxa" w:w="3931"/>
            <w:tcMar>
              <w:left w:w="108" w:type="dxa"/>
              <w:right w:w="108" w:type="dxa"/>
            </w:tcMar>
            <w:vAlign w:val="center"/>
            <w:vMerge w:val="restart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Head Office</w:t>
            </w:r>
          </w:p>
        </w:tc>
        <w:tc>
          <w:tcPr>
            <w:tcW w:type="dxa" w:w="4410"/>
            <w:tcMar>
              <w:left w:w="108" w:type="dxa"/>
              <w:right w:w="108" w:type="dxa"/>
            </w:tcMar>
            <w:vAlign w:val="center"/>
            <w:gridSpan w:val="2"/>
            <w:tcBorders>
              <w:bottom w:val="single" w:color="auto" w:sz="4"/>
              <w:left w:val="nil" w:color="auto"/>
              <w:right w:val="single" w:color="auto" w:sz="4"/>
              <w:top w:val="single" w:color="auto" w:sz="4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Phone No:</w:t>
            </w:r>
          </w:p>
        </w:tc>
      </w:tr>
      <w:tr>
        <w:trPr>
          <w:trHeight w:hRule="atleast" w:val="315"/>
        </w:trPr>
        <w:tc>
          <w:tcPr>
            <w:tcW w:type="dxa" w:w="856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single" w:color="auto" w:sz="8"/>
              <w:right w:val="single" w:color="auto" w:sz="4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</w:p>
        </w:tc>
        <w:tc>
          <w:tcPr>
            <w:tcW w:type="dxa" w:w="3931"/>
            <w:vAlign w:val="center"/>
            <w:vMerge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  <w:shd w:val="clear" w:color="000000"/>
          </w:tcPr>
          <w:p/>
        </w:tc>
        <w:tc>
          <w:tcPr>
            <w:tcW w:type="dxa" w:w="4410"/>
            <w:tcMar>
              <w:left w:w="108" w:type="dxa"/>
              <w:right w:w="108" w:type="dxa"/>
            </w:tcMar>
            <w:vAlign w:val="center"/>
            <w:gridSpan w:val="2"/>
            <w:tcBorders>
              <w:bottom w:val="single" w:color="auto" w:sz="4"/>
              <w:left w:val="nil" w:color="auto"/>
              <w:right w:val="single" w:color="auto" w:sz="4"/>
              <w:top w:val="single" w:color="auto" w:sz="4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Fax No:</w:t>
            </w:r>
          </w:p>
        </w:tc>
      </w:tr>
      <w:tr>
        <w:trPr>
          <w:trHeight w:hRule="atleast" w:val="525"/>
        </w:trPr>
        <w:tc>
          <w:tcPr>
            <w:tcW w:type="dxa" w:w="856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single" w:color="auto" w:sz="8"/>
              <w:right w:val="single" w:color="auto" w:sz="4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</w:p>
        </w:tc>
        <w:tc>
          <w:tcPr>
            <w:tcW w:type="dxa" w:w="3931"/>
            <w:vAlign w:val="center"/>
            <w:vMerge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  <w:shd w:val="clear" w:color="000000"/>
          </w:tcPr>
          <w:p/>
        </w:tc>
        <w:tc>
          <w:tcPr>
            <w:tcW w:type="dxa" w:w="4410"/>
            <w:tcMar>
              <w:left w:w="108" w:type="dxa"/>
              <w:right w:w="108" w:type="dxa"/>
            </w:tcMar>
            <w:vAlign w:val="center"/>
            <w:gridSpan w:val="2"/>
            <w:tcBorders>
              <w:bottom w:val="single" w:color="auto" w:sz="4"/>
              <w:left w:val="nil" w:color="auto"/>
              <w:right w:val="single" w:color="auto" w:sz="4"/>
              <w:top w:val="single" w:color="auto" w:sz="4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Mobile No. of Head Office In-charge:</w:t>
            </w:r>
          </w:p>
        </w:tc>
      </w:tr>
      <w:tr>
        <w:trPr>
          <w:trHeight w:hRule="atleast" w:val="330"/>
        </w:trPr>
        <w:tc>
          <w:tcPr>
            <w:tcW w:type="dxa" w:w="856"/>
            <w:tcMar>
              <w:left w:w="108" w:type="dxa"/>
              <w:right w:w="108" w:type="dxa"/>
            </w:tcMar>
            <w:vAlign w:val="center"/>
            <w:tcBorders>
              <w:bottom w:val="single" w:color="auto" w:sz="8"/>
              <w:left w:val="single" w:color="auto" w:sz="8"/>
              <w:right w:val="single" w:color="auto" w:sz="4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</w:p>
        </w:tc>
        <w:tc>
          <w:tcPr>
            <w:tcW w:type="dxa" w:w="3931"/>
            <w:tcMar>
              <w:left w:w="108" w:type="dxa"/>
              <w:right w:w="108" w:type="dxa"/>
            </w:tcMar>
            <w:vAlign w:val="center"/>
            <w:tcBorders>
              <w:bottom w:val="single" w:color="auto" w:sz="8"/>
              <w:left w:val="nil" w:color="auto"/>
              <w:right w:val="single" w:color="auto" w:sz="4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Date of establishment of the firm</w:t>
            </w:r>
          </w:p>
        </w:tc>
        <w:tc>
          <w:tcPr>
            <w:tcW w:type="dxa" w:w="4410"/>
            <w:tcMar>
              <w:left w:w="108" w:type="dxa"/>
              <w:right w:w="108" w:type="dxa"/>
            </w:tcMar>
            <w:vAlign w:val="center"/>
            <w:gridSpan w:val="2"/>
            <w:tcBorders>
              <w:bottom w:val="single" w:color="auto" w:sz="8"/>
              <w:left w:val="nil" w:color="auto"/>
              <w:right w:val="single" w:color="auto" w:sz="4"/>
              <w:top w:val="single" w:color="auto" w:sz="4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</w:p>
        </w:tc>
      </w:tr>
      <w:tr>
        <w:trPr>
          <w:trHeight w:hRule="atleast" w:val="630"/>
        </w:trPr>
        <w:tc>
          <w:tcPr>
            <w:tcW w:type="dxa" w:w="856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single" w:color="auto" w:sz="8"/>
              <w:right w:val="single" w:color="auto" w:sz="4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</w:p>
        </w:tc>
        <w:tc>
          <w:tcPr>
            <w:tcW w:type="dxa" w:w="393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Date since when is H.O. at the </w:t>
            </w: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existing Station</w:t>
            </w:r>
          </w:p>
        </w:tc>
        <w:tc>
          <w:tcPr>
            <w:tcW w:type="dxa" w:w="4410"/>
            <w:tcMar>
              <w:left w:w="108" w:type="dxa"/>
              <w:right w:w="108" w:type="dxa"/>
            </w:tcMar>
            <w:vAlign w:val="center"/>
            <w:gridSpan w:val="2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</w:p>
        </w:tc>
      </w:tr>
      <w:tr>
        <w:trPr>
          <w:trHeight w:hRule="atleast" w:val="1260"/>
        </w:trPr>
        <w:tc>
          <w:tcPr>
            <w:tcW w:type="dxa" w:w="856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single" w:color="auto" w:sz="8"/>
              <w:right w:val="single" w:color="auto" w:sz="4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</w:p>
        </w:tc>
        <w:tc>
          <w:tcPr>
            <w:tcW w:type="dxa" w:w="393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Branch Office 1,2,3……(Particulars </w:t>
            </w: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of each branch to be given)</w:t>
            </w:r>
          </w:p>
        </w:tc>
        <w:tc>
          <w:tcPr>
            <w:tcW w:type="dxa" w:w="4410"/>
            <w:tcMar>
              <w:left w:w="108" w:type="dxa"/>
              <w:right w:w="108" w:type="dxa"/>
            </w:tcMar>
            <w:vAlign w:val="center"/>
            <w:gridSpan w:val="2"/>
            <w:tcBorders>
              <w:bottom w:val="single" w:color="auto" w:sz="4"/>
              <w:left w:val="nil" w:color="auto"/>
              <w:right w:val="single" w:color="auto" w:sz="4"/>
              <w:top w:val="single" w:color="auto" w:sz="4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Phone No:</w:t>
            </w:r>
          </w:p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Fax No:</w:t>
            </w:r>
          </w:p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Mobile of each Branch Office In-charge:</w:t>
            </w:r>
          </w:p>
        </w:tc>
      </w:tr>
      <w:tr>
        <w:trPr>
          <w:trHeight w:hRule="atleast" w:val="317"/>
        </w:trPr>
        <w:tc>
          <w:tcPr>
            <w:tcW w:type="dxa" w:w="856"/>
            <w:tcMar>
              <w:left w:w="108" w:type="dxa"/>
              <w:right w:w="108" w:type="dxa"/>
            </w:tcMar>
            <w:vAlign w:val="center"/>
            <w:tcBorders>
              <w:bottom w:val="single" w:color="000000" w:sz="8"/>
              <w:left w:val="single" w:color="auto" w:sz="8"/>
              <w:right w:val="single" w:color="auto" w:sz="4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</w:p>
        </w:tc>
        <w:tc>
          <w:tcPr>
            <w:tcW w:type="dxa" w:w="3931"/>
            <w:tcMar>
              <w:left w:w="108" w:type="dxa"/>
              <w:right w:w="108" w:type="dxa"/>
            </w:tcMar>
            <w:vAlign w:val="center"/>
            <w:tcBorders>
              <w:bottom w:val="single" w:color="000000" w:sz="8"/>
              <w:left w:val="single" w:color="auto" w:sz="4"/>
              <w:right w:val="single" w:color="auto" w:sz="4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Mention the date of establishment of  </w:t>
            </w: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each branch offices since when </w:t>
            </w: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existed at the existing place</w:t>
            </w:r>
          </w:p>
        </w:tc>
        <w:tc>
          <w:tcPr>
            <w:tcW w:type="dxa" w:w="4410"/>
            <w:tcMar>
              <w:left w:w="108" w:type="dxa"/>
              <w:right w:w="108" w:type="dxa"/>
            </w:tcMar>
            <w:vAlign w:val="center"/>
            <w:gridSpan w:val="2"/>
            <w:tcBorders>
              <w:bottom w:val="single" w:color="000000" w:sz="8"/>
              <w:left w:val="single" w:color="auto" w:sz="4"/>
              <w:right w:val="single" w:color="auto" w:sz="4"/>
              <w:top w:val="single" w:color="auto" w:sz="4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</w:p>
        </w:tc>
      </w:tr>
      <w:tr>
        <w:trPr>
          <w:trHeight w:hRule="atleast" w:val="330"/>
        </w:trPr>
        <w:tc>
          <w:tcPr>
            <w:tcW w:type="dxa" w:w="856"/>
            <w:tcMar>
              <w:left w:w="108" w:type="dxa"/>
              <w:right w:w="108" w:type="dxa"/>
            </w:tcMar>
            <w:vAlign w:val="center"/>
            <w:tcBorders>
              <w:bottom w:val="single" w:color="auto" w:sz="8"/>
              <w:left w:val="single" w:color="auto" w:sz="8"/>
              <w:right w:val="single" w:color="auto" w:sz="4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type="dxa" w:w="3931"/>
            <w:tcMar>
              <w:left w:w="108" w:type="dxa"/>
              <w:right w:w="108" w:type="dxa"/>
            </w:tcMar>
            <w:vAlign w:val="center"/>
            <w:tcBorders>
              <w:bottom w:val="single" w:color="auto" w:sz="8"/>
              <w:left w:val="nil" w:color="auto"/>
              <w:right w:val="single" w:color="auto" w:sz="4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Firm Income Tax PAN No.</w:t>
            </w:r>
          </w:p>
        </w:tc>
        <w:tc>
          <w:tcPr>
            <w:tcW w:type="dxa" w:w="4410"/>
            <w:tcMar>
              <w:left w:w="108" w:type="dxa"/>
              <w:right w:w="108" w:type="dxa"/>
            </w:tcMar>
            <w:vAlign w:val="center"/>
            <w:gridSpan w:val="2"/>
            <w:tcBorders>
              <w:bottom w:val="single" w:color="auto" w:sz="8"/>
              <w:left w:val="nil" w:color="auto"/>
              <w:right w:val="single" w:color="auto" w:sz="4"/>
              <w:top w:val="single" w:color="auto" w:sz="8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Attach copy of PAN card</w:t>
            </w:r>
          </w:p>
        </w:tc>
      </w:tr>
      <w:tr>
        <w:trPr>
          <w:trHeight w:hRule="atleast" w:val="330"/>
        </w:trPr>
        <w:tc>
          <w:tcPr>
            <w:tcW w:type="dxa" w:w="856"/>
            <w:tcMar>
              <w:left w:w="108" w:type="dxa"/>
              <w:right w:w="108" w:type="dxa"/>
            </w:tcMar>
            <w:vAlign w:val="center"/>
            <w:tcBorders>
              <w:bottom w:val="single" w:color="auto" w:sz="8"/>
              <w:left w:val="single" w:color="auto" w:sz="8"/>
              <w:right w:val="single" w:color="auto" w:sz="4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type="dxa" w:w="3931"/>
            <w:tcMar>
              <w:left w:w="108" w:type="dxa"/>
              <w:right w:w="108" w:type="dxa"/>
            </w:tcMar>
            <w:vAlign w:val="center"/>
            <w:tcBorders>
              <w:bottom w:val="single" w:color="auto" w:sz="8"/>
              <w:left w:val="nil" w:color="auto"/>
              <w:right w:val="single" w:color="auto" w:sz="4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Firm Service Tax Registration No.</w:t>
            </w:r>
          </w:p>
        </w:tc>
        <w:tc>
          <w:tcPr>
            <w:tcW w:type="dxa" w:w="4410"/>
            <w:tcMar>
              <w:left w:w="108" w:type="dxa"/>
              <w:right w:w="108" w:type="dxa"/>
            </w:tcMar>
            <w:vAlign w:val="center"/>
            <w:gridSpan w:val="2"/>
            <w:tcBorders>
              <w:bottom w:val="single" w:color="auto" w:sz="8"/>
              <w:left w:val="nil" w:color="auto"/>
              <w:right w:val="single" w:color="auto" w:sz="4"/>
              <w:top w:val="single" w:color="auto" w:sz="8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Attach copy of Registration</w:t>
            </w:r>
          </w:p>
        </w:tc>
      </w:tr>
      <w:tr>
        <w:trPr>
          <w:trHeight w:hRule="atleast" w:val="330"/>
        </w:trPr>
        <w:tc>
          <w:tcPr>
            <w:tcW w:type="dxa" w:w="856"/>
            <w:tcMar>
              <w:left w:w="108" w:type="dxa"/>
              <w:right w:w="108" w:type="dxa"/>
            </w:tcMar>
            <w:vAlign w:val="center"/>
            <w:tcBorders>
              <w:bottom w:val="single" w:color="auto" w:sz="8"/>
              <w:left w:val="single" w:color="auto" w:sz="8"/>
              <w:right w:val="single" w:color="auto" w:sz="4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type="dxa" w:w="3931"/>
            <w:tcMar>
              <w:left w:w="108" w:type="dxa"/>
              <w:right w:w="108" w:type="dxa"/>
            </w:tcMar>
            <w:vAlign w:val="center"/>
            <w:tcBorders>
              <w:bottom w:val="single" w:color="auto" w:sz="8"/>
              <w:left w:val="nil" w:color="auto"/>
              <w:right w:val="single" w:color="auto" w:sz="4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Firm GST/TAN Registration No</w:t>
            </w:r>
          </w:p>
        </w:tc>
        <w:tc>
          <w:tcPr>
            <w:tcW w:type="dxa" w:w="4410"/>
            <w:tcMar>
              <w:left w:w="108" w:type="dxa"/>
              <w:right w:w="108" w:type="dxa"/>
            </w:tcMar>
            <w:vAlign w:val="center"/>
            <w:gridSpan w:val="2"/>
            <w:tcBorders>
              <w:bottom w:val="single" w:color="auto" w:sz="8"/>
              <w:left w:val="nil" w:color="auto"/>
              <w:right w:val="single" w:color="auto" w:sz="4"/>
              <w:top w:val="single" w:color="auto" w:sz="8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Attach copy of Registration</w:t>
            </w:r>
          </w:p>
        </w:tc>
      </w:tr>
      <w:tr>
        <w:trPr>
          <w:trHeight w:hRule="atleast" w:val="1110"/>
        </w:trPr>
        <w:tc>
          <w:tcPr>
            <w:tcW w:type="dxa" w:w="856"/>
            <w:tcMar>
              <w:left w:w="108" w:type="dxa"/>
              <w:right w:w="108" w:type="dxa"/>
            </w:tcMar>
            <w:vAlign w:val="center"/>
            <w:tcBorders>
              <w:bottom w:val="single" w:color="auto" w:sz="8"/>
              <w:left w:val="single" w:color="auto" w:sz="8"/>
              <w:right w:val="single" w:color="auto" w:sz="4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type="dxa" w:w="3931"/>
            <w:tcMar>
              <w:left w:w="108" w:type="dxa"/>
              <w:right w:w="108" w:type="dxa"/>
            </w:tcMar>
            <w:vAlign w:val="center"/>
            <w:tcBorders>
              <w:bottom w:val="single" w:color="auto" w:sz="8"/>
              <w:left w:val="nil" w:color="auto"/>
              <w:right w:val="single" w:color="auto" w:sz="4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Firm’s Registration No. with ICAI</w:t>
            </w:r>
          </w:p>
        </w:tc>
        <w:tc>
          <w:tcPr>
            <w:tcW w:type="dxa" w:w="4410"/>
            <w:tcMar>
              <w:left w:w="108" w:type="dxa"/>
              <w:right w:w="108" w:type="dxa"/>
            </w:tcMar>
            <w:vAlign w:val="center"/>
            <w:gridSpan w:val="2"/>
            <w:tcBorders>
              <w:bottom w:val="single" w:color="auto" w:sz="8"/>
              <w:left w:val="nil" w:color="auto"/>
              <w:right w:val="single" w:color="auto" w:sz="4"/>
              <w:top w:val="single" w:color="auto" w:sz="8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Attach a copy of certificate downloaded </w:t>
            </w: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from ICAI Website showing the name &amp; </w:t>
            </w: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address of H.O., B.O. and partners etc.</w:t>
            </w:r>
          </w:p>
        </w:tc>
      </w:tr>
      <w:tr>
        <w:trPr>
          <w:trHeight w:hRule="atleast" w:val="1155"/>
        </w:trPr>
        <w:tc>
          <w:tcPr>
            <w:tcW w:type="dxa" w:w="856"/>
            <w:tcMar>
              <w:left w:w="108" w:type="dxa"/>
              <w:right w:w="108" w:type="dxa"/>
            </w:tcMar>
            <w:vAlign w:val="center"/>
            <w:tcBorders>
              <w:bottom w:val="single" w:color="auto" w:sz="8"/>
              <w:left w:val="single" w:color="auto" w:sz="8"/>
              <w:right w:val="single" w:color="auto" w:sz="4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type="dxa" w:w="3931"/>
            <w:tcMar>
              <w:left w:w="108" w:type="dxa"/>
              <w:right w:w="108" w:type="dxa"/>
            </w:tcMar>
            <w:vAlign w:val="center"/>
            <w:tcBorders>
              <w:bottom w:val="single" w:color="auto" w:sz="8"/>
              <w:left w:val="nil" w:color="auto"/>
              <w:right w:val="single" w:color="auto" w:sz="4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Empanelment No. with C&amp;AG</w:t>
            </w:r>
          </w:p>
        </w:tc>
        <w:tc>
          <w:tcPr>
            <w:tcW w:type="dxa" w:w="4410"/>
            <w:tcMar>
              <w:left w:w="108" w:type="dxa"/>
              <w:right w:w="108" w:type="dxa"/>
            </w:tcMar>
            <w:vAlign w:val="center"/>
            <w:gridSpan w:val="2"/>
            <w:tcBorders>
              <w:bottom w:val="single" w:color="auto" w:sz="8"/>
              <w:left w:val="nil" w:color="auto"/>
              <w:right w:val="single" w:color="auto" w:sz="4"/>
              <w:top w:val="single" w:color="auto" w:sz="8"/>
            </w:tcBorders>
            <w:shd w:val="clear" w:color="000000"/>
          </w:tcPr>
          <w:p>
            <w:pPr>
              <w:jc w:val="center"/>
              <w:spacing w:lineRule="auto" w:line="275"/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Attach proof of empanelment with C&amp;AG </w:t>
            </w:r>
            <w:r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for the year under Audit (2023-24) </w:t>
            </w:r>
            <w:r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confirming that the firm is eligible for </w:t>
            </w:r>
            <w:r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major PSU audits.</w:t>
            </w:r>
          </w:p>
        </w:tc>
      </w:tr>
      <w:tr>
        <w:trPr>
          <w:trHeight w:hRule="atleast" w:val="1275"/>
        </w:trPr>
        <w:tc>
          <w:tcPr>
            <w:tcW w:type="dxa" w:w="856"/>
            <w:tcMar>
              <w:left w:w="108" w:type="dxa"/>
              <w:right w:w="108" w:type="dxa"/>
            </w:tcMar>
            <w:vAlign w:val="center"/>
            <w:tcBorders>
              <w:bottom w:val="single" w:color="auto" w:sz="8"/>
              <w:left w:val="single" w:color="auto" w:sz="8"/>
              <w:right w:val="single" w:color="auto" w:sz="4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type="dxa" w:w="3931"/>
            <w:tcMar>
              <w:left w:w="108" w:type="dxa"/>
              <w:right w:w="108" w:type="dxa"/>
            </w:tcMar>
            <w:vAlign w:val="center"/>
            <w:tcBorders>
              <w:bottom w:val="single" w:color="auto" w:sz="8"/>
              <w:left w:val="nil" w:color="auto"/>
              <w:right w:val="single" w:color="auto" w:sz="4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No. of Years of Firm Existence &amp; </w:t>
            </w: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Date of establishment of Firm</w:t>
            </w:r>
          </w:p>
        </w:tc>
        <w:tc>
          <w:tcPr>
            <w:tcW w:type="dxa" w:w="4410"/>
            <w:tcMar>
              <w:left w:w="108" w:type="dxa"/>
              <w:right w:w="108" w:type="dxa"/>
            </w:tcMar>
            <w:vAlign w:val="center"/>
            <w:gridSpan w:val="2"/>
            <w:tcBorders>
              <w:bottom w:val="single" w:color="auto" w:sz="8"/>
              <w:left w:val="nil" w:color="auto"/>
              <w:right w:val="single" w:color="auto" w:sz="4"/>
              <w:top w:val="single" w:color="auto" w:sz="8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Attach copy of Partnership Deed</w:t>
            </w:r>
          </w:p>
        </w:tc>
      </w:tr>
      <w:tr>
        <w:trPr>
          <w:trHeight w:hRule="atleast" w:val="645"/>
        </w:trPr>
        <w:tc>
          <w:tcPr>
            <w:tcW w:type="dxa" w:w="856"/>
            <w:tcMar>
              <w:left w:w="108" w:type="dxa"/>
              <w:right w:w="108" w:type="dxa"/>
            </w:tcMar>
            <w:vAlign w:val="center"/>
            <w:tcBorders>
              <w:bottom w:val="single" w:color="auto" w:sz="8"/>
              <w:left w:val="single" w:color="auto" w:sz="8"/>
              <w:right w:val="single" w:color="auto" w:sz="4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type="dxa" w:w="3931"/>
            <w:tcMar>
              <w:left w:w="108" w:type="dxa"/>
              <w:right w:w="108" w:type="dxa"/>
            </w:tcMar>
            <w:vAlign w:val="center"/>
            <w:tcBorders>
              <w:bottom w:val="single" w:color="auto" w:sz="8"/>
              <w:left w:val="nil" w:color="auto"/>
              <w:right w:val="single" w:color="auto" w:sz="4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Turnover of the Firm in last three </w:t>
            </w: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years</w:t>
            </w:r>
          </w:p>
        </w:tc>
        <w:tc>
          <w:tcPr>
            <w:tcW w:type="dxa" w:w="4410"/>
            <w:tcMar>
              <w:left w:w="108" w:type="dxa"/>
              <w:right w:w="108" w:type="dxa"/>
            </w:tcMar>
            <w:vAlign w:val="center"/>
            <w:gridSpan w:val="2"/>
            <w:tcBorders>
              <w:bottom w:val="single" w:color="auto" w:sz="8"/>
              <w:left w:val="nil" w:color="auto"/>
              <w:right w:val="single" w:color="auto" w:sz="4"/>
              <w:top w:val="single" w:color="auto" w:sz="8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Attach a copy of Balance Sheet and P &amp; L </w:t>
            </w: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Account of the last three years or a C.A. </w:t>
            </w: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Certificate give Break-up of Audit Fee and </w:t>
            </w: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Other Fees Received.</w:t>
            </w:r>
          </w:p>
        </w:tc>
      </w:tr>
      <w:tr>
        <w:trPr>
          <w:trHeight w:hRule="atleast" w:val="315"/>
        </w:trPr>
        <w:tc>
          <w:tcPr>
            <w:tcW w:type="dxa" w:w="856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single" w:color="auto" w:sz="8"/>
              <w:right w:val="single" w:color="auto" w:sz="4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type="dxa" w:w="393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Audit Experience of the Firm:</w:t>
            </w:r>
          </w:p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1.  Number of Assignments in </w:t>
            </w: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Commercial/Statutory Audit</w:t>
            </w:r>
          </w:p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2. Number of Assignments of </w:t>
            </w: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Externally Aided Projects/Social </w:t>
            </w: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Sector Project (excluding audit of </w:t>
            </w: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Charitable Org.) Institutions &amp;NGOs</w:t>
            </w:r>
          </w:p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3. Experience in the NHM audit</w:t>
            </w:r>
          </w:p>
        </w:tc>
        <w:tc>
          <w:tcPr>
            <w:tcW w:type="dxa" w:w="4410"/>
            <w:tcMar>
              <w:left w:w="108" w:type="dxa"/>
              <w:right w:w="108" w:type="dxa"/>
            </w:tcMar>
            <w:vAlign w:val="center"/>
            <w:gridSpan w:val="2"/>
            <w:tcBorders>
              <w:bottom w:val="single" w:color="auto" w:sz="4"/>
              <w:left w:val="nil" w:color="auto"/>
              <w:right w:val="single" w:color="auto" w:sz="4"/>
              <w:top w:val="single" w:color="auto" w:sz="8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Copy of the Offer Letter &amp; the Fee </w:t>
            </w: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Charged for each assignment.</w:t>
            </w:r>
          </w:p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(Relevant evidences to be given of the </w:t>
            </w: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turnover and fee)</w:t>
            </w:r>
          </w:p>
        </w:tc>
      </w:tr>
      <w:tr>
        <w:trPr>
          <w:trHeight w:hRule="atleast" w:val="315"/>
        </w:trPr>
        <w:tc>
          <w:tcPr>
            <w:tcW w:type="dxa" w:w="856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single" w:color="auto" w:sz="4"/>
              <w:right w:val="nil" w:color="auto"/>
              <w:top w:val="single" w:color="auto" w:sz="4"/>
            </w:tcBorders>
            <w:shd w:val="clear" w:color="000000"/>
          </w:tcPr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type="dxa" w:w="393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single" w:color="auto" w:sz="4"/>
              <w:right w:val="single" w:color="auto" w:sz="4"/>
              <w:top w:val="single" w:color="auto" w:sz="4"/>
            </w:tcBorders>
            <w:shd w:val="clear" w:color="000000"/>
          </w:tcPr>
          <w:p>
            <w:pPr>
              <w:jc w:val="center"/>
              <w:spacing w:lineRule="auto" w:line="275"/>
              <w:rPr>
                <w:b w:val="1"/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b w:val="1"/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Details of Partners:</w:t>
            </w:r>
          </w:p>
          <w:p>
            <w:pPr>
              <w:jc w:val="center"/>
              <w:spacing w:lineRule="auto" w:line="275"/>
              <w:rPr>
                <w:b w:val="1"/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b w:val="1"/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Provide following details:</w:t>
            </w:r>
          </w:p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Symbol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Symbol" w:hAnsi="Times New Roman" w:cs="Times New Roman"/>
              </w:rPr>
              <w:t xml:space="preserve"> Number of Full Time Fellow </w:t>
            </w: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Symbol" w:hAnsi="Times New Roman" w:cs="Times New Roman"/>
              </w:rPr>
              <w:t xml:space="preserve">Partners associated with the firm</w:t>
            </w:r>
          </w:p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Symbol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Symbol" w:hAnsi="Times New Roman" w:cs="Times New Roman"/>
              </w:rPr>
              <w:t xml:space="preserve"> Name of each partner</w:t>
            </w:r>
          </w:p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Symbol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Symbol" w:hAnsi="Times New Roman" w:cs="Times New Roman"/>
              </w:rPr>
              <w:t xml:space="preserve">Date of becoming ACA and </w:t>
            </w: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Symbol" w:hAnsi="Times New Roman" w:cs="Times New Roman"/>
              </w:rPr>
              <w:t>FCA</w:t>
            </w:r>
          </w:p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Symbol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Symbol" w:hAnsi="Times New Roman" w:cs="Times New Roman"/>
              </w:rPr>
              <w:t xml:space="preserve">Date of joining the firm</w:t>
            </w:r>
          </w:p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Symbol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Symbol" w:hAnsi="Times New Roman" w:cs="Times New Roman"/>
              </w:rPr>
              <w:t xml:space="preserve"> Membership No.</w:t>
            </w:r>
          </w:p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Symbol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Symbol" w:hAnsi="Times New Roman" w:cs="Times New Roman"/>
              </w:rPr>
              <w:t xml:space="preserve"> Qualification</w:t>
            </w:r>
          </w:p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Symbol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Symbol" w:hAnsi="Times New Roman" w:cs="Times New Roman"/>
              </w:rPr>
              <w:t>Experience</w:t>
            </w:r>
          </w:p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Symbol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Symbol" w:hAnsi="Times New Roman" w:cs="Times New Roman"/>
              </w:rPr>
              <w:t xml:space="preserve"> Whether the partners is engaged </w:t>
            </w: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Symbol" w:hAnsi="Times New Roman" w:cs="Times New Roman"/>
              </w:rPr>
              <w:t xml:space="preserve">full time or part time with the firm</w:t>
            </w:r>
          </w:p>
          <w:p>
            <w:pPr>
              <w:jc w:val="center"/>
              <w:spacing w:lineRule="auto" w:line="275"/>
              <w:rPr>
                <w:color w:val="000000"/>
                <w:sz w:val="24"/>
                <w:szCs w:val="24"/>
                <w:shd w:val="clear" w:color="auto" w:fill="auto"/>
                <w:rFonts w:ascii="Times New Roman" w:eastAsia="Symbol" w:hAnsi="Times New Roman" w:cs="Times New Roman"/>
              </w:rPr>
            </w:pP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Symbol" w:hAnsi="Times New Roman" w:cs="Times New Roman"/>
              </w:rPr>
              <w:t xml:space="preserve"> Their Contact Mobile No., email </w:t>
            </w: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Symbol" w:hAnsi="Times New Roman" w:cs="Times New Roman"/>
              </w:rPr>
              <w:t xml:space="preserve">and full </w:t>
            </w: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Address (Attested copy of </w:t>
            </w: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Certificate/letter of ICAI not before </w:t>
            </w: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01/01/202</w:t>
            </w:r>
            <w:r>
              <w:rPr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  <w:lang/>
              </w:rPr>
              <w:t>4</w:t>
            </w:r>
          </w:p>
        </w:tc>
        <w:tc>
          <w:tcPr>
            <w:tcW w:type="dxa" w:w="4410"/>
            <w:tcMar>
              <w:left w:w="108" w:type="dxa"/>
              <w:right w:w="108" w:type="dxa"/>
            </w:tcMar>
            <w:vAlign w:val="center"/>
            <w:gridSpan w:val="2"/>
            <w:tcBorders>
              <w:bottom w:val="single" w:color="auto" w:sz="4"/>
              <w:left w:val="nil" w:color="auto"/>
              <w:right w:val="single" w:color="auto" w:sz="4"/>
              <w:top w:val="single" w:color="auto" w:sz="4"/>
            </w:tcBorders>
            <w:shd w:val="clear" w:color="000000"/>
          </w:tcPr>
          <w:p>
            <w:pPr>
              <w:jc w:val="center"/>
              <w:spacing w:lineRule="auto" w:line="275"/>
              <w:rPr>
                <w:b w:val="1"/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b w:val="1"/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Attested copy of Certificate of ICAI not </w:t>
            </w:r>
            <w:r>
              <w:rPr>
                <w:b w:val="1"/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before 01.01.202</w:t>
            </w:r>
            <w:r>
              <w:rPr>
                <w:b w:val="1"/>
                <w:color w:val="000000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  <w:lang/>
              </w:rPr>
              <w:t>4</w:t>
            </w:r>
          </w:p>
        </w:tc>
      </w:tr>
    </w:tbl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bookmarkStart w:id="13" w:name="page15"/>
      <w:bookmarkEnd w:id="13"/>
    </w:p>
    <w:p>
      <w:pPr>
        <w:jc w:val="both"/>
        <w:spacing w:lineRule="auto" w:line="275"/>
        <w:ind w:left="1220" w:right="2000" w:hanging="779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  <w:t>Note: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The firm shall give an undertaking that the team members are 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proficient in the State’s official language (both oral and written).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ectPr>
          <w15:footnoteColumns w:val="1"/>
          <w:pgSz w:w="12240" w:h="15840"/>
          <w:pgMar w:top="1148" w:left="1300" w:bottom="709" w:right="616" w:header="0" w:footer="0" w:gutter="0"/>
          <w:pgNumType w:fmt="decimal"/>
          <w:docGrid w:type="default" w:linePitch="360" w:charSpace="0"/>
        </w:sect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ind w:left="8200" w:firstLine="0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  <w:bookmarkStart w:id="14" w:name="page16"/>
      <w:bookmarkEnd w:id="14"/>
      <w:r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  <w:t xml:space="preserve">Form F-1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ind w:left="3060" w:firstLine="0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  <w:t xml:space="preserve">FORMAT FOR FINANCIAL BID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ind w:left="1000" w:firstLine="0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  <w:t xml:space="preserve">(Please provide the break-up of Firm’s quoted fees for each work and unit)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tbl>
      <w:tblID w:val="0"/>
      <w:tblPr>
        <w:tblCellMar>
          <w:left w:w="0" w:type="dxa"/>
          <w:top w:w="0" w:type="dxa"/>
          <w:right w:w="0" w:type="dxa"/>
          <w:bottom w:w="0" w:type="dxa"/>
        </w:tblCellMar>
        <w:tblW w:w="0" w:type="auto"/>
        <w:tblInd w:w="130" w:type="dxa"/>
        <w:tblLook w:val="000000" w:firstRow="0" w:lastRow="0" w:firstColumn="0" w:lastColumn="0" w:noHBand="0" w:noVBand="0"/>
        <w:tblLayout w:type="auto"/>
      </w:tblPr>
      <w:tblGrid>
        <w:gridCol w:w="840"/>
        <w:gridCol w:w="4420"/>
        <w:gridCol w:w="3840"/>
      </w:tblGrid>
      <w:tr>
        <w:trPr>
          <w:trHeight w:hRule="atleast" w:val="285"/>
        </w:trPr>
        <w:tc>
          <w:tcPr>
            <w:tcW w:type="dxa" w:w="840"/>
            <w:vAlign w:val="bottom"/>
            <w:tcBorders>
              <w:left w:val="single" w:color="auto" w:sz="8"/>
              <w:top w:val="single" w:color="auto" w:sz="8"/>
            </w:tcBorders>
            <w:shd w:val="clear" w:color="000000"/>
          </w:tcPr>
          <w:p>
            <w:pPr>
              <w:spacing w:lineRule="auto" w:line="275"/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</w:p>
        </w:tc>
        <w:tc>
          <w:tcPr>
            <w:tcW w:type="dxa" w:w="4420"/>
            <w:vAlign w:val="bottom"/>
            <w:tcBorders>
              <w:right w:val="single" w:color="auto" w:sz="8"/>
              <w:top w:val="single" w:color="auto" w:sz="8"/>
            </w:tcBorders>
            <w:shd w:val="clear" w:color="000000"/>
          </w:tcPr>
          <w:p>
            <w:pPr>
              <w:spacing w:lineRule="auto" w:line="275"/>
              <w:ind w:left="1200" w:firstLine="0"/>
              <w:rPr>
                <w:b w:val="1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b w:val="1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Particulars</w:t>
            </w:r>
          </w:p>
        </w:tc>
        <w:tc>
          <w:tcPr>
            <w:tcW w:type="dxa" w:w="3840"/>
            <w:vAlign w:val="bottom"/>
            <w:tcBorders>
              <w:right w:val="single" w:color="auto" w:sz="8"/>
              <w:top w:val="single" w:color="auto" w:sz="8"/>
            </w:tcBorders>
            <w:shd w:val="clear" w:color="000000"/>
          </w:tcPr>
          <w:p>
            <w:pPr>
              <w:spacing w:lineRule="auto" w:line="275"/>
              <w:ind w:left="80" w:firstLine="0"/>
              <w:rPr>
                <w:b w:val="1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b w:val="1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Total Amount (in Rupees)</w:t>
            </w:r>
          </w:p>
        </w:tc>
      </w:tr>
      <w:tr>
        <w:trPr>
          <w:trHeight w:hRule="atleast" w:val="44"/>
        </w:trPr>
        <w:tc>
          <w:tcPr>
            <w:tcW w:type="dxa" w:w="5260"/>
            <w:vAlign w:val="bottom"/>
            <w:gridSpan w:val="2"/>
            <w:tcBorders>
              <w:bottom w:val="single" w:color="auto" w:sz="8"/>
              <w:left w:val="single" w:color="auto" w:sz="8"/>
              <w:right w:val="single" w:color="auto" w:sz="8"/>
            </w:tcBorders>
            <w:shd w:val="clear" w:color="000000"/>
          </w:tcPr>
          <w:p>
            <w:pPr>
              <w:spacing w:lineRule="auto" w:line="275"/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</w:p>
        </w:tc>
        <w:tc>
          <w:tcPr>
            <w:tcW w:type="dxa" w:w="3840"/>
            <w:vAlign w:val="bottom"/>
            <w:tcBorders>
              <w:bottom w:val="single" w:color="auto" w:sz="8"/>
              <w:right w:val="single" w:color="auto" w:sz="8"/>
            </w:tcBorders>
            <w:shd w:val="clear" w:color="000000"/>
          </w:tcPr>
          <w:p>
            <w:pPr>
              <w:spacing w:lineRule="auto" w:line="275"/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</w:p>
        </w:tc>
      </w:tr>
      <w:tr>
        <w:trPr>
          <w:trHeight w:hRule="atleast" w:val="896"/>
        </w:trPr>
        <w:tc>
          <w:tcPr>
            <w:tcW w:type="dxa" w:w="5260"/>
            <w:vAlign w:val="bottom"/>
            <w:gridSpan w:val="2"/>
            <w:tcBorders>
              <w:left w:val="single" w:color="auto" w:sz="8"/>
              <w:right w:val="single" w:color="auto" w:sz="8"/>
            </w:tcBorders>
            <w:shd w:val="clear" w:color="000000"/>
          </w:tcPr>
          <w:p>
            <w:pPr>
              <w:spacing w:lineRule="auto" w:line="275"/>
              <w:ind w:left="100" w:firstLine="0"/>
              <w:rPr>
                <w:b w:val="1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b w:val="1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AUDIT FEE</w:t>
            </w:r>
          </w:p>
        </w:tc>
        <w:tc>
          <w:tcPr>
            <w:tcW w:type="dxa" w:w="3840"/>
            <w:vAlign w:val="bottom"/>
            <w:tcBorders>
              <w:right w:val="single" w:color="auto" w:sz="8"/>
            </w:tcBorders>
            <w:shd w:val="clear" w:color="000000"/>
          </w:tcPr>
          <w:p>
            <w:pPr>
              <w:spacing w:lineRule="auto" w:line="275"/>
              <w:ind w:left="80" w:firstLine="0"/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Both in Numeric and in Words.</w:t>
            </w:r>
          </w:p>
        </w:tc>
      </w:tr>
      <w:tr>
        <w:trPr>
          <w:trHeight w:hRule="atleast" w:val="632"/>
        </w:trPr>
        <w:tc>
          <w:tcPr>
            <w:tcW w:type="dxa" w:w="840"/>
            <w:vAlign w:val="bottom"/>
            <w:tcBorders>
              <w:left w:val="single" w:color="auto" w:sz="8"/>
            </w:tcBorders>
            <w:shd w:val="clear" w:color="000000"/>
          </w:tcPr>
          <w:p>
            <w:pPr>
              <w:spacing w:lineRule="auto" w:line="275"/>
              <w:ind w:left="580" w:firstLine="0"/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a.</w:t>
            </w:r>
          </w:p>
        </w:tc>
        <w:tc>
          <w:tcPr>
            <w:tcW w:type="dxa" w:w="4420"/>
            <w:vAlign w:val="bottom"/>
            <w:tcBorders>
              <w:right w:val="single" w:color="auto" w:sz="8"/>
            </w:tcBorders>
            <w:shd w:val="clear" w:color="000000"/>
          </w:tcPr>
          <w:p>
            <w:pPr>
              <w:spacing w:lineRule="auto" w:line="275"/>
              <w:ind w:left="100" w:firstLine="0"/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Audit fess---------------</w:t>
            </w:r>
          </w:p>
        </w:tc>
        <w:tc>
          <w:tcPr>
            <w:tcW w:type="dxa" w:w="3840"/>
            <w:vAlign w:val="bottom"/>
            <w:tcBorders>
              <w:right w:val="single" w:color="auto" w:sz="8"/>
            </w:tcBorders>
            <w:shd w:val="clear" w:color="000000"/>
          </w:tcPr>
          <w:p>
            <w:pPr>
              <w:spacing w:lineRule="auto" w:line="275"/>
              <w:ind w:left="80" w:firstLine="0"/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Rs.__________________/-</w:t>
            </w:r>
          </w:p>
        </w:tc>
      </w:tr>
      <w:tr>
        <w:trPr>
          <w:trHeight w:hRule="atleast" w:val="317"/>
        </w:trPr>
        <w:tc>
          <w:tcPr>
            <w:tcW w:type="dxa" w:w="840"/>
            <w:vAlign w:val="bottom"/>
            <w:tcBorders>
              <w:left w:val="single" w:color="auto" w:sz="8"/>
            </w:tcBorders>
            <w:shd w:val="clear" w:color="000000"/>
          </w:tcPr>
          <w:p>
            <w:pPr>
              <w:spacing w:lineRule="auto" w:line="275"/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</w:p>
        </w:tc>
        <w:tc>
          <w:tcPr>
            <w:tcW w:type="dxa" w:w="4420"/>
            <w:vAlign w:val="bottom"/>
            <w:tcBorders>
              <w:right w:val="single" w:color="auto" w:sz="8"/>
            </w:tcBorders>
            <w:shd w:val="clear" w:color="000000"/>
          </w:tcPr>
          <w:p>
            <w:pPr>
              <w:spacing w:lineRule="auto" w:line="275"/>
              <w:ind w:left="100" w:firstLine="0"/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(Including cost of TA/DA)</w:t>
            </w:r>
          </w:p>
        </w:tc>
        <w:tc>
          <w:tcPr>
            <w:tcW w:type="dxa" w:w="3840"/>
            <w:vAlign w:val="bottom"/>
            <w:tcBorders>
              <w:right w:val="single" w:color="auto" w:sz="8"/>
            </w:tcBorders>
            <w:shd w:val="clear" w:color="000000"/>
          </w:tcPr>
          <w:p>
            <w:pPr>
              <w:spacing w:lineRule="auto" w:line="275"/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</w:p>
        </w:tc>
      </w:tr>
      <w:tr>
        <w:trPr>
          <w:trHeight w:hRule="atleast" w:val="317"/>
        </w:trPr>
        <w:tc>
          <w:tcPr>
            <w:tcW w:type="dxa" w:w="840"/>
            <w:vAlign w:val="bottom"/>
            <w:tcBorders>
              <w:left w:val="single" w:color="auto" w:sz="8"/>
            </w:tcBorders>
            <w:shd w:val="clear" w:color="000000"/>
          </w:tcPr>
          <w:p>
            <w:pPr>
              <w:spacing w:lineRule="auto" w:line="275"/>
              <w:ind w:left="580" w:firstLine="0"/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b.</w:t>
            </w:r>
          </w:p>
        </w:tc>
        <w:tc>
          <w:tcPr>
            <w:tcW w:type="dxa" w:w="4420"/>
            <w:vAlign w:val="bottom"/>
            <w:tcBorders>
              <w:right w:val="single" w:color="auto" w:sz="8"/>
            </w:tcBorders>
            <w:shd w:val="clear" w:color="000000"/>
          </w:tcPr>
          <w:p>
            <w:pPr>
              <w:spacing w:lineRule="auto" w:line="275"/>
              <w:ind w:left="100" w:firstLine="0"/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Service Tax----------------</w:t>
            </w:r>
          </w:p>
        </w:tc>
        <w:tc>
          <w:tcPr>
            <w:tcW w:type="dxa" w:w="3840"/>
            <w:vAlign w:val="bottom"/>
            <w:tcBorders>
              <w:right w:val="single" w:color="auto" w:sz="8"/>
            </w:tcBorders>
            <w:shd w:val="clear" w:color="000000"/>
          </w:tcPr>
          <w:p>
            <w:pPr>
              <w:spacing w:lineRule="auto" w:line="275"/>
              <w:ind w:left="80" w:firstLine="0"/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(Rupees</w:t>
            </w:r>
          </w:p>
        </w:tc>
      </w:tr>
      <w:tr>
        <w:trPr>
          <w:trHeight w:hRule="atleast" w:val="319"/>
        </w:trPr>
        <w:tc>
          <w:tcPr>
            <w:tcW w:type="dxa" w:w="840"/>
            <w:vAlign w:val="bottom"/>
            <w:tcBorders>
              <w:left w:val="single" w:color="auto" w:sz="8"/>
            </w:tcBorders>
            <w:shd w:val="clear" w:color="000000"/>
          </w:tcPr>
          <w:p>
            <w:pPr>
              <w:spacing w:lineRule="auto" w:line="275"/>
              <w:ind w:left="580" w:firstLine="0"/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c.</w:t>
            </w:r>
          </w:p>
        </w:tc>
        <w:tc>
          <w:tcPr>
            <w:tcW w:type="dxa" w:w="4420"/>
            <w:vAlign w:val="bottom"/>
            <w:tcBorders>
              <w:right w:val="single" w:color="auto" w:sz="8"/>
            </w:tcBorders>
            <w:shd w:val="clear" w:color="000000"/>
          </w:tcPr>
          <w:p>
            <w:pPr>
              <w:spacing w:lineRule="auto" w:line="275"/>
              <w:ind w:left="100" w:firstLine="0"/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Total Fees---------------</w:t>
            </w:r>
          </w:p>
        </w:tc>
        <w:tc>
          <w:tcPr>
            <w:tcW w:type="dxa" w:w="3840"/>
            <w:vAlign w:val="bottom"/>
            <w:tcBorders>
              <w:right w:val="single" w:color="auto" w:sz="8"/>
            </w:tcBorders>
            <w:shd w:val="clear" w:color="000000"/>
          </w:tcPr>
          <w:p>
            <w:pPr>
              <w:spacing w:lineRule="auto" w:line="275"/>
              <w:ind w:left="80" w:firstLine="0"/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>________________________).</w:t>
            </w:r>
          </w:p>
        </w:tc>
      </w:tr>
      <w:tr>
        <w:trPr>
          <w:trHeight w:hRule="atleast" w:val="634"/>
        </w:trPr>
        <w:tc>
          <w:tcPr>
            <w:tcW w:type="dxa" w:w="5260"/>
            <w:vAlign w:val="bottom"/>
            <w:gridSpan w:val="2"/>
            <w:tcBorders>
              <w:left w:val="single" w:color="auto" w:sz="8"/>
              <w:right w:val="single" w:color="auto" w:sz="8"/>
            </w:tcBorders>
            <w:shd w:val="clear" w:color="000000"/>
          </w:tcPr>
          <w:p>
            <w:pPr>
              <w:spacing w:lineRule="auto" w:line="275"/>
              <w:ind w:left="100" w:firstLine="0"/>
              <w:rPr>
                <w:b w:val="1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sz w:val="24"/>
                <w:szCs w:val="24"/>
                <w:u w:val="single"/>
                <w:shd w:val="clear" w:color="auto" w:fill="auto"/>
                <w:rFonts w:ascii="Times New Roman" w:eastAsia="Times New Roman" w:hAnsi="Times New Roman" w:cs="Times New Roman"/>
              </w:rPr>
              <w:t>Note:</w:t>
            </w:r>
            <w:r>
              <w:rPr>
                <w:b w:val="1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 Percentage of funds involved shall not be a</w:t>
            </w:r>
          </w:p>
        </w:tc>
        <w:tc>
          <w:tcPr>
            <w:tcW w:type="dxa" w:w="3840"/>
            <w:vAlign w:val="bottom"/>
            <w:tcBorders>
              <w:right w:val="single" w:color="auto" w:sz="8"/>
            </w:tcBorders>
            <w:shd w:val="clear" w:color="000000"/>
          </w:tcPr>
          <w:p>
            <w:pPr>
              <w:spacing w:lineRule="auto" w:line="275"/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</w:p>
        </w:tc>
      </w:tr>
      <w:tr>
        <w:trPr>
          <w:trHeight w:hRule="atleast" w:val="322"/>
        </w:trPr>
        <w:tc>
          <w:tcPr>
            <w:tcW w:type="dxa" w:w="5260"/>
            <w:vAlign w:val="bottom"/>
            <w:gridSpan w:val="2"/>
            <w:tcBorders>
              <w:left w:val="single" w:color="auto" w:sz="8"/>
              <w:right w:val="single" w:color="auto" w:sz="8"/>
            </w:tcBorders>
            <w:shd w:val="clear" w:color="000000"/>
          </w:tcPr>
          <w:p>
            <w:pPr>
              <w:spacing w:lineRule="auto" w:line="275"/>
              <w:ind w:left="100" w:firstLine="0"/>
              <w:rPr>
                <w:b w:val="1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  <w:r>
              <w:rPr>
                <w:b w:val="1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basis of quoting the Audit Fee.</w:t>
            </w:r>
          </w:p>
        </w:tc>
        <w:tc>
          <w:tcPr>
            <w:tcW w:type="dxa" w:w="3840"/>
            <w:vAlign w:val="bottom"/>
            <w:tcBorders>
              <w:right w:val="single" w:color="auto" w:sz="8"/>
            </w:tcBorders>
            <w:shd w:val="clear" w:color="000000"/>
          </w:tcPr>
          <w:p>
            <w:pPr>
              <w:spacing w:lineRule="auto" w:line="275"/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</w:p>
        </w:tc>
      </w:tr>
      <w:tr>
        <w:trPr>
          <w:trHeight w:hRule="atleast" w:val="363"/>
        </w:trPr>
        <w:tc>
          <w:tcPr>
            <w:tcW w:type="dxa" w:w="840"/>
            <w:vAlign w:val="bottom"/>
            <w:tcBorders>
              <w:bottom w:val="single" w:color="auto" w:sz="8"/>
              <w:left w:val="single" w:color="auto" w:sz="8"/>
            </w:tcBorders>
            <w:shd w:val="clear" w:color="000000"/>
          </w:tcPr>
          <w:p>
            <w:pPr>
              <w:spacing w:lineRule="auto" w:line="275"/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</w:p>
        </w:tc>
        <w:tc>
          <w:tcPr>
            <w:tcW w:type="dxa" w:w="4420"/>
            <w:vAlign w:val="bottom"/>
            <w:tcBorders>
              <w:bottom w:val="single" w:color="auto" w:sz="8"/>
              <w:right w:val="single" w:color="auto" w:sz="8"/>
            </w:tcBorders>
            <w:shd w:val="clear" w:color="000000"/>
          </w:tcPr>
          <w:p>
            <w:pPr>
              <w:spacing w:lineRule="auto" w:line="275"/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</w:p>
        </w:tc>
        <w:tc>
          <w:tcPr>
            <w:tcW w:type="dxa" w:w="3840"/>
            <w:vAlign w:val="bottom"/>
            <w:tcBorders>
              <w:bottom w:val="single" w:color="auto" w:sz="8"/>
              <w:right w:val="single" w:color="auto" w:sz="8"/>
            </w:tcBorders>
            <w:shd w:val="clear" w:color="000000"/>
          </w:tcPr>
          <w:p>
            <w:pPr>
              <w:spacing w:lineRule="auto" w:line="275"/>
              <w:rPr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</w:pPr>
          </w:p>
        </w:tc>
      </w:tr>
    </w:tbl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tabs>
          <w:tab w:val="left" w:pos="700"/>
        </w:tabs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Note: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ab/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In case of change in the rate of Service Tax the revised Service Tax shall be paid.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shd w:val="clear" w:color="auto" w:fill="auto"/>
          <w:rFonts w:ascii="Times New Roman" w:hAnsi="Times New Roman" w:cs="Times New Roman"/>
        </w:rPr>
      </w:pPr>
      <w:bookmarkStart w:id="15" w:name="page17"/>
      <w:bookmarkEnd w:id="15"/>
      <w:r>
        <w:rPr>
          <w:b w:val="1"/>
          <w:sz w:val="24"/>
          <w:szCs w:val="24"/>
          <w:shd w:val="clear" w:color="auto" w:fill="auto"/>
          <w:rFonts w:ascii="Times New Roman" w:hAnsi="Times New Roman" w:cs="Times New Roman"/>
        </w:rPr>
        <w:t xml:space="preserve">Form U </w:t>
      </w:r>
    </w:p>
    <w:p>
      <w:pPr>
        <w:jc w:val="center"/>
        <w:spacing w:lineRule="auto" w:line="275"/>
        <w:rPr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(Letter of undertaking for having the local office in the State)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hAnsi="Times New Roman" w:cs="Times New Roman"/>
        </w:rPr>
        <w:t>To,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The Mission Director,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State Health Society,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Name &amp; Address of State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hAnsi="Times New Roman" w:cs="Times New Roman"/>
        </w:rPr>
        <w:t>Sir,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hAnsi="Times New Roman" w:cs="Times New Roman"/>
        </w:rPr>
      </w:pPr>
    </w:p>
    <w:p>
      <w:pPr>
        <w:jc w:val="both"/>
        <w:spacing w:lineRule="auto" w:line="275"/>
        <w:ind w:firstLine="720"/>
        <w:rPr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We, the undersigned offer to provide the audit services for [ </w:t>
      </w:r>
      <w:r>
        <w:rPr>
          <w:i w:val="1"/>
          <w:sz w:val="24"/>
          <w:szCs w:val="24"/>
          <w:shd w:val="clear" w:color="auto" w:fill="auto"/>
          <w:rFonts w:ascii="Times New Roman" w:hAnsi="Times New Roman" w:cs="Times New Roman"/>
        </w:rPr>
        <w:t xml:space="preserve">Name of State Health Society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]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in accordance with your Request for Proposal dated [ </w:t>
      </w:r>
      <w:r>
        <w:rPr>
          <w:i w:val="1"/>
          <w:sz w:val="24"/>
          <w:szCs w:val="24"/>
          <w:shd w:val="clear" w:color="auto" w:fill="auto"/>
          <w:rFonts w:ascii="Times New Roman" w:hAnsi="Times New Roman" w:cs="Times New Roman"/>
        </w:rPr>
        <w:t xml:space="preserve">insert date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]. We hereby submit our Proposal,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having details about the firm and proposed audit fees.</w:t>
      </w:r>
    </w:p>
    <w:p>
      <w:pPr>
        <w:jc w:val="both"/>
        <w:spacing w:lineRule="auto" w:line="275"/>
        <w:ind w:firstLine="720"/>
        <w:rPr>
          <w:sz w:val="24"/>
          <w:szCs w:val="24"/>
          <w:shd w:val="clear" w:color="auto" w:fill="auto"/>
          <w:rFonts w:ascii="Times New Roman" w:hAnsi="Times New Roman" w:cs="Times New Roman"/>
        </w:rPr>
      </w:pPr>
    </w:p>
    <w:p>
      <w:pPr>
        <w:jc w:val="both"/>
        <w:spacing w:lineRule="auto" w:line="275"/>
        <w:ind w:firstLine="720"/>
        <w:rPr>
          <w:sz w:val="24"/>
          <w:szCs w:val="24"/>
          <w:shd w:val="clear" w:color="auto" w:fill="auto"/>
          <w:rFonts w:ascii="Times New Roman" w:hAnsi="Times New Roman" w:cs="Times New Roman"/>
        </w:rPr>
      </w:pPr>
    </w:p>
    <w:p>
      <w:pPr>
        <w:jc w:val="both"/>
        <w:spacing w:lineRule="auto" w:line="275"/>
        <w:ind w:firstLine="720"/>
        <w:rPr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We hereby declare that our firm is having Head/ Branch offices in the State of ……….and is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situated at ………………………………………………………….</w:t>
      </w:r>
    </w:p>
    <w:p>
      <w:pPr>
        <w:jc w:val="both"/>
        <w:spacing w:lineRule="auto" w:line="275"/>
        <w:rPr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…………………………………………………………………………………………… address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proof (photocopy of letter for incorporation of firm, lease agreement, phone connection, Electric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Connection etc.)  of this office in the State is enclosed herewith. </w:t>
      </w:r>
    </w:p>
    <w:p>
      <w:pPr>
        <w:jc w:val="both"/>
        <w:spacing w:lineRule="auto" w:line="275"/>
        <w:ind w:firstLine="720"/>
        <w:rPr>
          <w:sz w:val="24"/>
          <w:szCs w:val="24"/>
          <w:shd w:val="clear" w:color="auto" w:fill="auto"/>
          <w:rFonts w:ascii="Times New Roman" w:hAnsi="Times New Roman" w:cs="Times New Roman"/>
        </w:rPr>
      </w:pPr>
    </w:p>
    <w:p>
      <w:pPr>
        <w:jc w:val="both"/>
        <w:spacing w:lineRule="auto" w:line="275"/>
        <w:ind w:firstLine="720"/>
        <w:rPr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We hereby also give an undertaking that the firm’s staff deputed for the audit are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proficient in State’s/UTs local language, both in oral and written form.</w:t>
      </w:r>
    </w:p>
    <w:p>
      <w:pPr>
        <w:jc w:val="both"/>
        <w:spacing w:lineRule="auto" w:line="275"/>
        <w:ind w:firstLine="720"/>
        <w:rPr>
          <w:sz w:val="24"/>
          <w:szCs w:val="24"/>
          <w:shd w:val="clear" w:color="auto" w:fill="auto"/>
          <w:rFonts w:ascii="Times New Roman" w:hAnsi="Times New Roman" w:cs="Times New Roman"/>
        </w:rPr>
      </w:pPr>
    </w:p>
    <w:p>
      <w:pPr>
        <w:jc w:val="both"/>
        <w:spacing w:lineRule="auto" w:line="275"/>
        <w:ind w:firstLine="720"/>
        <w:rPr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We, hereby understand that any information given here if found to be false or misleading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will be treated as fraud and appropriate action can be taken in this regard.</w:t>
      </w:r>
    </w:p>
    <w:p>
      <w:pPr>
        <w:jc w:val="both"/>
        <w:spacing w:lineRule="auto" w:line="275"/>
        <w:ind w:firstLine="720"/>
        <w:rPr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hAnsi="Times New Roman" w:cs="Times New Roman"/>
        </w:rPr>
        <w:tab/>
      </w:r>
    </w:p>
    <w:p>
      <w:pPr>
        <w:jc w:val="both"/>
        <w:spacing w:lineRule="auto" w:line="275"/>
        <w:ind w:firstLine="720"/>
        <w:rPr>
          <w:sz w:val="24"/>
          <w:szCs w:val="24"/>
          <w:shd w:val="clear" w:color="auto" w:fill="auto"/>
          <w:rFonts w:ascii="Times New Roman" w:hAnsi="Times New Roman" w:cs="Times New Roman"/>
        </w:rPr>
      </w:pPr>
    </w:p>
    <w:p>
      <w:pPr>
        <w:jc w:val="right"/>
        <w:spacing w:lineRule="auto" w:line="275"/>
        <w:rPr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Yours faithfully</w:t>
      </w:r>
    </w:p>
    <w:p>
      <w:pPr>
        <w:jc w:val="right"/>
        <w:spacing w:lineRule="auto" w:line="275"/>
        <w:rPr>
          <w:sz w:val="24"/>
          <w:szCs w:val="24"/>
          <w:shd w:val="clear" w:color="auto" w:fill="auto"/>
          <w:rFonts w:ascii="Times New Roman" w:hAnsi="Times New Roman" w:cs="Times New Roman"/>
        </w:rPr>
      </w:pPr>
    </w:p>
    <w:p>
      <w:pPr>
        <w:jc w:val="right"/>
        <w:spacing w:lineRule="auto" w:line="275"/>
        <w:rPr>
          <w:sz w:val="24"/>
          <w:szCs w:val="24"/>
          <w:shd w:val="clear" w:color="auto" w:fill="auto"/>
          <w:rFonts w:ascii="Times New Roman" w:hAnsi="Times New Roman" w:cs="Times New Roman"/>
        </w:rPr>
      </w:pPr>
    </w:p>
    <w:p>
      <w:pPr>
        <w:jc w:val="right"/>
        <w:spacing w:lineRule="auto" w:line="275"/>
        <w:rPr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(                           )</w:t>
      </w:r>
    </w:p>
    <w:p>
      <w:pPr>
        <w:jc w:val="right"/>
        <w:spacing w:lineRule="auto" w:line="275"/>
        <w:rPr>
          <w:sz w:val="24"/>
          <w:szCs w:val="24"/>
          <w:shd w:val="clear" w:color="auto" w:fill="auto"/>
          <w:rFonts w:ascii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hAnsi="Times New Roman" w:cs="Times New Roman"/>
        </w:rPr>
        <w:t>Encl: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hAnsi="Times New Roman" w:cs="Times New Roman"/>
        </w:rPr>
        <w:t>1…………….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hAnsi="Times New Roman" w:cs="Times New Roman"/>
        </w:rPr>
        <w:t>2…………….</w:t>
      </w:r>
    </w:p>
    <w:p>
      <w:pPr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u w:val="single"/>
          <w:shd w:val="clear" w:color="auto" w:fill="auto"/>
          <w:rFonts w:ascii="Times New Roman" w:eastAsia="Times New Roman" w:hAnsi="Times New Roman" w:cs="Times New Roman"/>
        </w:rPr>
        <w:t xml:space="preserve">Selection Process of the Auditor: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For the purpose of the appointment of the statutory auditor for 2023-24, following points should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be taken into account-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ind w:left="280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1. Open advertisement (as per Format for Advertisement as at Form-A) in leading newspapers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at State level and National level for inviting proposals from CAG empanelled Chartered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Accountant firms for statutory audit of State and District Health Societies should be issued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first. A copy of the advertisement shall also be e-mailed to the Institute of Chartered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Accountants of India (ICAI) for webhosting on ICAI website at secretary@icai.in &amp;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secretary@icai.org. (Format of the advertisement is enclosed) – A copy of the advertisement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shall have to be sent to Financial Management Group (FMG) in MoHFW. Advertisement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along with the detailed RFP shall also to be uploaded on the State’s NHM website.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ind w:left="280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2. A pre-bid conference shall be held (date to be indicated in the advertisement) wherein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queries/doubts of the potential bidders shall be clarified.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ind w:left="280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3. The Executive Committee of the SHS will form a Standing Committee on Audit (SCA)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with suitable representation from programme and finance wings. The SCA should invariably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be headed by the Director-Finance or other person nominated by the Mission Director. This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SCA will also act as the Selection Committee for the selection of auditors. The SCA will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subsequently monitor the audit process and the follow-up on audit paras and Action Taken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Reports on those audit paras. After the selection of auditor by SCA, the same will have to be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approved in the meeting of Executive Committee of the SHS.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ind w:firstLine="28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detailed scheduled with regard to the tendering process shall be as under-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ind w:left="280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Advertisement: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Advertisement should be made latest by the 1</w:t>
      </w:r>
      <w:r>
        <w:rPr>
          <w:vertAlign w:val="superscript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st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April, 202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/>
        </w:rPr>
        <w:t>4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so the process of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appointment of auditor is completed before 25</w:t>
      </w:r>
      <w:r>
        <w:rPr>
          <w:vertAlign w:val="superscript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th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April, 202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/>
        </w:rPr>
        <w:t>4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ind w:left="280" w:firstLine="0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Date for collection of RFP: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Within 15 days of advertisement i.e. 16</w:t>
      </w:r>
      <w:r>
        <w:rPr>
          <w:vertAlign w:val="superscript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th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April, 202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/>
        </w:rPr>
        <w:t>4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ind w:left="280" w:firstLine="0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Date of pre-bid conference: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Next day of the last date for collection of the RFP i.e. 17</w:t>
      </w:r>
      <w:r>
        <w:rPr>
          <w:vertAlign w:val="superscript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th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April,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202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/>
        </w:rPr>
        <w:t>4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ind w:left="280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Last date and time for submission of Proposal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: Within one week from the date of pre-bid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conference i.e. 24</w:t>
      </w:r>
      <w:r>
        <w:rPr>
          <w:vertAlign w:val="superscript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th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April, 202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/>
        </w:rPr>
        <w:t>4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ind w:left="280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Date and time of opening of Tender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: On the day of closing of submission of proposal and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after 2 hours of the closing time i.e. 24</w:t>
      </w:r>
      <w:r>
        <w:rPr>
          <w:vertAlign w:val="superscript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th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 April, 202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/>
        </w:rPr>
        <w:t>4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ind w:left="280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selection process of auditor shall be subject to review by FMG, MoHFW, GOI / Office of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Chief Controller of Accounts, MHFW, GOI / Audit parties of the AG or any authorized person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of the MoHFW, GOI.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ind w:left="280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bookmarkStart w:id="16" w:name="page18"/>
      <w:bookmarkEnd w:id="16"/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State at the time of selection of the Statutory Auditor must ensure that the firm was not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engaged as Concurrent Auditor of the State during the year for which the auditor was engaged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or if he has been appointed for the year 2023-24.</w:t>
      </w:r>
    </w:p>
    <w:p>
      <w:pPr>
        <w:jc w:val="both"/>
        <w:spacing w:lineRule="auto" w:line="275"/>
        <w:ind w:left="280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ind w:left="280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selection will be done by selecting the firm having lowest quotation in Financial Bid (L-1)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after finalizing the Technical proposal.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While finalizing audit firms, the firms having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H.O./Local Branch Office in the State capital of the same State for which the proposal is given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may be given preference at the time of finalizing the financial bid. (Such office should be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existed within the State for not less than three years as per the ICAI Certificate). That is any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firm with 2</w:t>
      </w:r>
      <w:r>
        <w:rPr>
          <w:vertAlign w:val="superscript"/>
          <w:sz w:val="24"/>
          <w:szCs w:val="24"/>
          <w:shd w:val="clear" w:color="auto" w:fill="auto"/>
          <w:rFonts w:ascii="Times New Roman" w:hAnsi="Times New Roman" w:cs="Times New Roman"/>
        </w:rPr>
        <w:t>nd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 lowest financial bid may be considered for appointment for Statutory Auditor if </w:t>
      </w:r>
      <w:r>
        <w:rPr>
          <w:sz w:val="24"/>
          <w:szCs w:val="24"/>
          <w:shd w:val="clear" w:color="auto" w:fill="auto"/>
          <w:rFonts w:ascii="Times New Roman" w:hAnsi="Times New Roman" w:cs="Times New Roman"/>
        </w:rPr>
        <w:t xml:space="preserve">that firm is having a head office or local branch office in that State.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ind w:left="280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On completion of selection process, the firm selected shall be awarded the contract of audit of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SHS &amp; DHS by issuing the Letter of Award (LOA). The firm should execute a Contract with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SHS within 2 weeks of the award of the issuance of LOA.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ind w:left="280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In case the bidding firm is found not suitable for audit on any reasonable ground like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information by the Ministry/ ICAI/ any State etc., State may reject such proposal without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giving any reason.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right"/>
        <w:spacing w:lineRule="auto" w:line="275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bookmarkStart w:id="17" w:name="page19"/>
      <w:bookmarkEnd w:id="17"/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Form – A (Format of Advertisement)</w:t>
      </w:r>
    </w:p>
    <w:p>
      <w:pPr>
        <w:spacing w:lineRule="auto" w:line="275"/>
        <w:ind w:left="3400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Government of ………….</w:t>
      </w:r>
    </w:p>
    <w:p>
      <w:pPr>
        <w:spacing w:lineRule="auto" w:line="275"/>
        <w:ind w:left="2880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Health &amp; Family Welfare Department</w:t>
      </w:r>
    </w:p>
    <w:p>
      <w:pPr>
        <w:spacing w:lineRule="auto" w:line="275"/>
        <w:ind w:left="3720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State Health Society</w:t>
      </w:r>
    </w:p>
    <w:p>
      <w:pP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ind w:left="1420" w:firstLine="0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SELECTION OF AUDITORS - REQUEST FOR PROPOSAL</w:t>
      </w:r>
    </w:p>
    <w:p>
      <w:pP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ind w:left="320" w:firstLine="0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HIRING SERVICES OF CHARTERED ACCOUNTANT FIRM FOR STATUTORY</w:t>
      </w:r>
    </w:p>
    <w:p>
      <w:pP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ind w:left="480" w:right="40" w:hanging="455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AUDIT OF STATE HEALTH SOCIETY (SHS) &amp; DISTRICT HEALTH SOCIETY (DHS) 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- (FOR THE FINANCIAL YEAR 2023-24) under National Health Mission (NHM)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ind w:firstLine="72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Govt of India (GOI) in partnership with the States is implementing the National Health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Mission which comprises various programs, with the objective of improving medical facilities in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areas and seeks to provide accessible, affordable and quality health care to the population,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especially the vulnerable sections. To facilitate implementation of NHM, State and District level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entities (Health Societies) have been registered which work under the administrative control of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the Department of Health &amp; Family Welfare. The …………. (Name of State) State Health</w:t>
      </w:r>
    </w:p>
    <w:p>
      <w:pPr>
        <w:jc w:val="both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Society, invites “Proposal for audit” from </w:t>
      </w: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firms of Chartered Accountants empaneled with</w:t>
      </w:r>
    </w:p>
    <w:p>
      <w:pPr>
        <w:jc w:val="both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C&amp; AG and eligible for conducting audit of major PSUs for the year 2023-24.</w:t>
      </w:r>
    </w:p>
    <w:p>
      <w:pPr>
        <w:jc w:val="both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Minimum payable fees will be worked out as per the norms of ICAI.</w:t>
      </w:r>
    </w:p>
    <w:p>
      <w:pP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jc w:val="both"/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Detailed RFP: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Detailed Request for Proposal (RFP) comprising Background, Terms of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Reference (ToR) and Guidelines for submitting the proposal can be either downloaded from the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State’s website </w:t>
      </w:r>
      <w:r>
        <w:fldChar w:fldCharType="begin"/>
      </w:r>
      <w:r>
        <w:instrText xml:space="preserve">HYPERLINK "http://www.nhm.gov.in/"</w:instrText>
      </w:r>
      <w:r>
        <w:fldChar w:fldCharType="separate"/>
      </w:r>
      <w:r>
        <w:rPr>
          <w:color w:val="0000FF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w</w:t>
      </w:r>
      <w:r>
        <w:rPr>
          <w:color w:val="0000FF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w</w:t>
      </w:r>
      <w:r>
        <w:rPr>
          <w:color w:val="0000FF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w</w:t>
      </w:r>
      <w:r>
        <w:rPr>
          <w:color w:val="0000FF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.</w:t>
      </w:r>
      <w:r>
        <w:rPr>
          <w:color w:val="0000FF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n</w:t>
      </w:r>
      <w:r>
        <w:rPr>
          <w:color w:val="0000FF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h</w:t>
      </w:r>
      <w:r>
        <w:rPr>
          <w:color w:val="0000FF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m</w:t>
      </w:r>
      <w:r>
        <w:rPr>
          <w:color w:val="0000FF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.</w:t>
      </w:r>
      <w:r>
        <w:rPr>
          <w:color w:val="0000FF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g</w:t>
      </w:r>
      <w:r>
        <w:rPr>
          <w:color w:val="0000FF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o</w:t>
      </w:r>
      <w:r>
        <w:rPr>
          <w:color w:val="0000FF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v</w:t>
      </w:r>
      <w:r>
        <w:rPr>
          <w:color w:val="0000FF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.</w:t>
      </w:r>
      <w:r>
        <w:rPr>
          <w:color w:val="0000FF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i</w:t>
      </w:r>
      <w:r>
        <w:rPr>
          <w:color w:val="0000FF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n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fldChar w:fldCharType="end"/>
      </w:r>
      <w:r>
        <w:rPr>
          <w:shd w:val="clear" w:color="auto" w:fill="auto"/>
        </w:rPr>
        <w:t xml:space="preserve">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or this can be collected from the O/o Mission 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Director……………….SHS between ……….. and ………………….</w:t>
      </w:r>
    </w:p>
    <w:p>
      <w:pP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</w:p>
    <w:p>
      <w:pPr>
        <w:spacing w:lineRule="auto" w:line="275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Important Dates:</w:t>
      </w:r>
    </w:p>
    <w:p>
      <w:pPr>
        <w:numPr>
          <w:numId w:val="21"/>
          <w:ilvl w:val="0"/>
        </w:numPr>
        <w:jc w:val="both"/>
        <w:spacing w:lineRule="auto" w:line="275"/>
        <w:ind w:left="720" w:hanging="488"/>
        <w:tabs>
          <w:tab w:val="left" w:pos="720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Last date for collection of RFP from Office of SHS: ………………….</w:t>
      </w:r>
    </w:p>
    <w:p>
      <w:pPr>
        <w:numPr>
          <w:numId w:val="21"/>
          <w:ilvl w:val="0"/>
        </w:numPr>
        <w:jc w:val="both"/>
        <w:spacing w:lineRule="auto" w:line="275"/>
        <w:ind w:left="720" w:hanging="556"/>
        <w:tabs>
          <w:tab w:val="left" w:pos="720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Date for pre-bid conference: …………………………………………….</w:t>
      </w:r>
    </w:p>
    <w:p>
      <w:pPr>
        <w:numPr>
          <w:numId w:val="21"/>
          <w:ilvl w:val="0"/>
        </w:numPr>
        <w:jc w:val="both"/>
        <w:spacing w:lineRule="auto" w:line="275"/>
        <w:ind w:left="720" w:hanging="620"/>
        <w:tabs>
          <w:tab w:val="left" w:pos="720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Last date for submission of Proposal to SHS: …………………………</w:t>
      </w:r>
    </w:p>
    <w:p>
      <w:pPr>
        <w:numPr>
          <w:numId w:val="21"/>
          <w:ilvl w:val="0"/>
        </w:numPr>
        <w:jc w:val="both"/>
        <w:spacing w:lineRule="auto" w:line="275"/>
        <w:ind w:left="720" w:hanging="608"/>
        <w:tabs>
          <w:tab w:val="left" w:pos="720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Date of opening of financial bid: …………………………………………</w:t>
      </w:r>
    </w:p>
    <w:p>
      <w:pPr>
        <w:numPr>
          <w:numId w:val="21"/>
          <w:ilvl w:val="0"/>
        </w:numPr>
        <w:jc w:val="both"/>
        <w:spacing w:lineRule="auto" w:line="275"/>
        <w:ind w:left="720" w:hanging="608"/>
        <w:tabs>
          <w:tab w:val="left" w:pos="720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Venue   for   Pre-bid   Conference:   Pre-bid   Conference   would   be   held   at</w:t>
      </w:r>
    </w:p>
    <w:p>
      <w:pPr>
        <w:jc w:val="both"/>
        <w:spacing w:lineRule="auto" w:line="275"/>
        <w:ind w:left="720" w:firstLine="0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…………………………..</w:t>
      </w:r>
    </w:p>
    <w:p>
      <w:pPr>
        <w:jc w:val="right"/>
        <w:spacing w:lineRule="auto" w:line="275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Mission Director,</w:t>
      </w:r>
    </w:p>
    <w:p>
      <w:pPr>
        <w:jc w:val="right"/>
        <w:spacing w:lineRule="auto" w:line="275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State Health Society..........</w:t>
      </w:r>
    </w:p>
    <w:p>
      <w:pPr>
        <w:spacing w:lineRule="auto" w:line="275"/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b w:val="1"/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Address: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Mission Director,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SHS of ……., Government of ………….,</w:t>
      </w:r>
    </w:p>
    <w:p>
      <w:pPr>
        <w:spacing w:lineRule="auto" w:line="275"/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Email id:</w:t>
      </w:r>
    </w:p>
    <w:p>
      <w:pPr>
        <w:spacing w:lineRule="auto" w:line="275"/>
        <w:tabs>
          <w:tab w:val="left" w:pos="960"/>
        </w:tabs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</w:pP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 xml:space="preserve">FAX: &amp;</w:t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ab/>
      </w:r>
      <w:r>
        <w:rPr>
          <w:sz w:val="24"/>
          <w:szCs w:val="24"/>
          <w:shd w:val="clear" w:color="auto" w:fill="auto"/>
          <w:rFonts w:ascii="Times New Roman" w:eastAsia="Times New Roman" w:hAnsi="Times New Roman" w:cs="Times New Roman"/>
        </w:rPr>
        <w:t>Phone:</w:t>
      </w:r>
    </w:p>
    <w:sectPr>
      <w15:footnoteColumns w:val="1"/>
      <w:pgSz w:w="12240" w:h="15840"/>
      <w:pgMar w:top="1177" w:left="1420" w:bottom="709" w:right="1420" w:header="0" w:footer="0" w:gutter="0"/>
      <w:pgNumType w:fmt="decimal"/>
      <w:docGrid w:type="default" w:linePitch="360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"/>
    <w:family w:val="swiss"/>
    <w:pitch w:val="variable"/>
    <w:sig w:usb0="e4002eff" w:usb1="c000e47f" w:usb2="00000009" w:usb3="00000000" w:csb0="000001ff" w:csb1="00000000"/>
  </w:font>
  <w:font w:name="+mn-ea">
    <w:altName w:val="Times New Roman"/>
    <w:panose1 w:val="00000000000000000000"/>
    <w:charset w:val="0"/>
    <w:family w:val="roman"/>
    <w:pitch w:val="default"/>
    <w:sig w:usb0="00000000" w:usb1="00000000" w:usb2="00000000" w:usb3="00000000" w:csb0="00000000" w:csb1="00000000"/>
  </w:font>
  <w:font w:name="+mn-cs">
    <w:panose1 w:val="00000000000000000000"/>
    <w:charset w:val="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"/>
    <w:family w:val="roman"/>
    <w:pitch w:val="variable"/>
    <w:sig w:usb0="e00006ff" w:usb1="420024ff" w:usb2="02000000" w:usb3="00000000" w:csb0="0000019f" w:csb1="00000000"/>
  </w:font>
</w:fonts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5="http://schemas.microsoft.com/office/word/2012/wordml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 mc:Ignorable="w14 wp14 w15">
  <w:p>
    <w:pPr>
      <w:pStyle w:val="PO153"/>
      <w:jc w:val="right"/>
      <w:rPr>
        <w:shd w:val="clear" w:color="auto" w:fill="auto"/>
      </w:rPr>
    </w:pPr>
    <w:r>
      <w:rPr>
        <w:shd w:val="clear" w:color="auto" w:fill="auto"/>
        <w:rFonts w:hint="eastAsia"/>
      </w:rPr>
      <w:fldChar w:fldCharType="begin"/>
    </w:r>
    <w:r>
      <w:rPr>
        <w:shd w:val="clear"/>
        <w:rFonts w:hint="eastAsia"/>
      </w:rPr>
      <w:instrText>PAGE  \* MERGEFORMAT</w:instrText>
    </w:r>
    <w:r>
      <w:fldChar w:fldCharType="separate"/>
    </w:r>
    <w:r>
      <w:rPr>
        <w:shd w:val="clear" w:color="auto" w:fill="auto"/>
      </w:rPr>
      <w:t>8</w:t>
    </w:r>
    <w:r>
      <w:rPr>
        <w:shd w:val="clear" w:color="auto" w:fill="auto"/>
      </w:rPr>
      <w:fldChar w:fldCharType="end"/>
    </w:r>
  </w:p>
  <w:p>
    <w:pPr>
      <w:pStyle w:val="PO153"/>
      <w:rPr>
        <w:shd w:val="clear" w:color="auto" w:fill="auto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>
  <w:abstractNum w:abstractNumId="0">
    <w:multiLevelType w:val="hybridMultilevel"/>
    <w:nsid w:val="2F000000"/>
    <w:tmpl w:val="1F000014"/>
    <w:lvl w:ilvl="0">
      <w:lvlJc w:val="left"/>
      <w:numFmt w:val="decimal"/>
      <w:start w:val="2"/>
      <w:suff w:val="tab"/>
      <w:rPr>
        <w:shd w:val="clear" w:color="auto" w:fill="auto"/>
      </w:rPr>
      <w:lvlText w:val="%1."/>
    </w:lvl>
    <w:lvl w:ilvl="1">
      <w:lvlJc w:val="left"/>
      <w:numFmt w:val="upperLetter"/>
      <w:start w:val="1"/>
      <w:suff w:val="tab"/>
      <w:rPr>
        <w:shd w:val="clear" w:color="auto" w:fill="auto"/>
      </w:rPr>
      <w:lvlText w:val="%2."/>
    </w:lvl>
    <w:lvl w:ilvl="2">
      <w:lvlJc w:val="left"/>
      <w:numFmt w:val="bullet"/>
      <w:start w:val="1"/>
      <w:suff w:val="tab"/>
      <w:rPr>
        <w:shd w:val="clear" w:color="auto" w:fill="auto"/>
      </w:rPr>
      <w:lvlText w:val="•"/>
    </w:lvl>
    <w:lvl w:ilvl="3">
      <w:lvlJc w:val="left"/>
      <w:numFmt w:val="bullet"/>
      <w:start w:val="1"/>
      <w:suff w:val="tab"/>
      <w:rPr>
        <w:shd w:val="clear" w:color="auto" w:fill="auto"/>
      </w:rPr>
      <w:lvlText w:val=""/>
    </w:lvl>
    <w:lvl w:ilvl="4">
      <w:lvlJc w:val="left"/>
      <w:numFmt w:val="bullet"/>
      <w:start w:val="1"/>
      <w:suff w:val="tab"/>
      <w:rPr>
        <w:shd w:val="clear" w:color="auto" w:fill="auto"/>
      </w:rPr>
      <w:lvlText w:val=""/>
    </w:lvl>
    <w:lvl w:ilvl="5">
      <w:lvlJc w:val="left"/>
      <w:numFmt w:val="bullet"/>
      <w:start w:val="1"/>
      <w:suff w:val="tab"/>
      <w:rPr>
        <w:shd w:val="clear" w:color="auto" w:fill="auto"/>
      </w:rPr>
      <w:lvlText w:val=""/>
    </w:lvl>
    <w:lvl w:ilvl="6">
      <w:lvlJc w:val="left"/>
      <w:numFmt w:val="bullet"/>
      <w:start w:val="1"/>
      <w:suff w:val="tab"/>
      <w:rPr>
        <w:shd w:val="clear" w:color="auto" w:fill="auto"/>
      </w:rPr>
      <w:lvlText w:val=""/>
    </w:lvl>
    <w:lvl w:ilvl="7">
      <w:lvlJc w:val="left"/>
      <w:numFmt w:val="bullet"/>
      <w:start w:val="1"/>
      <w:suff w:val="tab"/>
      <w:rPr>
        <w:shd w:val="clear" w:color="auto" w:fill="auto"/>
      </w:rPr>
      <w:lvlText w:val=""/>
    </w:lvl>
    <w:lvl w:ilvl="8">
      <w:lvlJc w:val="left"/>
      <w:numFmt w:val="bullet"/>
      <w:start w:val="1"/>
      <w:suff w:val="tab"/>
      <w:rPr>
        <w:shd w:val="clear" w:color="auto" w:fill="auto"/>
      </w:rPr>
      <w:lvlText w:val=""/>
    </w:lvl>
  </w:abstractNum>
  <w:abstractNum w:abstractNumId="1">
    <w:multiLevelType w:val="hybridMultilevel"/>
    <w:nsid w:val="2F000001"/>
    <w:tmpl w:val="1F002411"/>
    <w:lvl w:ilvl="0">
      <w:lvlJc w:val="left"/>
      <w:numFmt w:val="decimal"/>
      <w:start w:val="1"/>
      <w:suff w:val="tab"/>
      <w:rPr>
        <w:shd w:val="clear" w:color="auto" w:fill="auto"/>
      </w:rPr>
      <w:lvlText w:val="%1"/>
    </w:lvl>
    <w:lvl w:ilvl="1">
      <w:lvlJc w:val="left"/>
      <w:numFmt w:val="upperLetter"/>
      <w:start w:val="3"/>
      <w:suff w:val="tab"/>
      <w:rPr>
        <w:shd w:val="clear" w:color="auto" w:fill="auto"/>
      </w:rPr>
      <w:lvlText w:val="%2."/>
    </w:lvl>
    <w:lvl w:ilvl="2">
      <w:lvlJc w:val="left"/>
      <w:numFmt w:val="bullet"/>
      <w:start w:val="1"/>
      <w:suff w:val="tab"/>
      <w:rPr>
        <w:shd w:val="clear" w:color="auto" w:fill="auto"/>
      </w:rPr>
      <w:lvlText w:val="§"/>
    </w:lvl>
    <w:lvl w:ilvl="3">
      <w:lvlJc w:val="left"/>
      <w:numFmt w:val="bullet"/>
      <w:start w:val="1"/>
      <w:suff w:val="tab"/>
      <w:rPr>
        <w:shd w:val="clear" w:color="auto" w:fill="auto"/>
      </w:rPr>
      <w:lvlText w:val=""/>
    </w:lvl>
    <w:lvl w:ilvl="4">
      <w:lvlJc w:val="left"/>
      <w:numFmt w:val="bullet"/>
      <w:start w:val="1"/>
      <w:suff w:val="tab"/>
      <w:rPr>
        <w:shd w:val="clear" w:color="auto" w:fill="auto"/>
      </w:rPr>
      <w:lvlText w:val=""/>
    </w:lvl>
    <w:lvl w:ilvl="5">
      <w:lvlJc w:val="left"/>
      <w:numFmt w:val="bullet"/>
      <w:start w:val="1"/>
      <w:suff w:val="tab"/>
      <w:rPr>
        <w:shd w:val="clear" w:color="auto" w:fill="auto"/>
      </w:rPr>
      <w:lvlText w:val=""/>
    </w:lvl>
    <w:lvl w:ilvl="6">
      <w:lvlJc w:val="left"/>
      <w:numFmt w:val="bullet"/>
      <w:start w:val="1"/>
      <w:suff w:val="tab"/>
      <w:rPr>
        <w:shd w:val="clear" w:color="auto" w:fill="auto"/>
      </w:rPr>
      <w:lvlText w:val=""/>
    </w:lvl>
    <w:lvl w:ilvl="7">
      <w:lvlJc w:val="left"/>
      <w:numFmt w:val="bullet"/>
      <w:start w:val="1"/>
      <w:suff w:val="tab"/>
      <w:rPr>
        <w:shd w:val="clear" w:color="auto" w:fill="auto"/>
      </w:rPr>
      <w:lvlText w:val=""/>
    </w:lvl>
    <w:lvl w:ilvl="8">
      <w:lvlJc w:val="left"/>
      <w:numFmt w:val="bullet"/>
      <w:start w:val="1"/>
      <w:suff w:val="tab"/>
      <w:rPr>
        <w:shd w:val="clear" w:color="auto" w:fill="auto"/>
      </w:rPr>
      <w:lvlText w:val=""/>
    </w:lvl>
  </w:abstractNum>
  <w:abstractNum w:abstractNumId="2">
    <w:multiLevelType w:val="hybridMultilevel"/>
    <w:nsid w:val="2F000002"/>
    <w:tmpl w:val="1F000C5F"/>
    <w:lvl w:ilvl="0">
      <w:lvlJc w:val="left"/>
      <w:numFmt w:val="decimal"/>
      <w:start w:val="4"/>
      <w:suff w:val="tab"/>
      <w:rPr>
        <w:shd w:val="clear" w:color="auto" w:fill="auto"/>
      </w:rPr>
      <w:lvlText w:val="%1."/>
    </w:lvl>
    <w:lvl w:ilvl="1">
      <w:lvlJc w:val="left"/>
      <w:numFmt w:val="upperLetter"/>
      <w:start w:val="1"/>
      <w:suff w:val="tab"/>
      <w:rPr>
        <w:shd w:val="clear" w:color="auto" w:fill="auto"/>
      </w:rPr>
      <w:lvlText w:val="%2"/>
    </w:lvl>
    <w:lvl w:ilvl="2">
      <w:lvlJc w:val="left"/>
      <w:numFmt w:val="bullet"/>
      <w:start w:val="1"/>
      <w:suff w:val="tab"/>
      <w:rPr>
        <w:shd w:val="clear" w:color="auto" w:fill="auto"/>
      </w:rPr>
      <w:lvlText w:val="§"/>
    </w:lvl>
    <w:lvl w:ilvl="3">
      <w:lvlJc w:val="left"/>
      <w:numFmt w:val="bullet"/>
      <w:start w:val="1"/>
      <w:suff w:val="tab"/>
      <w:rPr>
        <w:shd w:val="clear" w:color="auto" w:fill="auto"/>
      </w:rPr>
      <w:lvlText w:val=""/>
    </w:lvl>
    <w:lvl w:ilvl="4">
      <w:lvlJc w:val="left"/>
      <w:numFmt w:val="bullet"/>
      <w:start w:val="1"/>
      <w:suff w:val="tab"/>
      <w:rPr>
        <w:shd w:val="clear" w:color="auto" w:fill="auto"/>
      </w:rPr>
      <w:lvlText w:val=""/>
    </w:lvl>
    <w:lvl w:ilvl="5">
      <w:lvlJc w:val="left"/>
      <w:numFmt w:val="bullet"/>
      <w:start w:val="1"/>
      <w:suff w:val="tab"/>
      <w:rPr>
        <w:shd w:val="clear" w:color="auto" w:fill="auto"/>
      </w:rPr>
      <w:lvlText w:val=""/>
    </w:lvl>
    <w:lvl w:ilvl="6">
      <w:lvlJc w:val="left"/>
      <w:numFmt w:val="bullet"/>
      <w:start w:val="1"/>
      <w:suff w:val="tab"/>
      <w:rPr>
        <w:shd w:val="clear" w:color="auto" w:fill="auto"/>
      </w:rPr>
      <w:lvlText w:val=""/>
    </w:lvl>
    <w:lvl w:ilvl="7">
      <w:lvlJc w:val="left"/>
      <w:numFmt w:val="bullet"/>
      <w:start w:val="1"/>
      <w:suff w:val="tab"/>
      <w:rPr>
        <w:shd w:val="clear" w:color="auto" w:fill="auto"/>
      </w:rPr>
      <w:lvlText w:val=""/>
    </w:lvl>
    <w:lvl w:ilvl="8">
      <w:lvlJc w:val="left"/>
      <w:numFmt w:val="bullet"/>
      <w:start w:val="1"/>
      <w:suff w:val="tab"/>
      <w:rPr>
        <w:shd w:val="clear" w:color="auto" w:fill="auto"/>
      </w:rPr>
      <w:lvlText w:val=""/>
    </w:lvl>
  </w:abstractNum>
  <w:abstractNum w:abstractNumId="3">
    <w:multiLevelType w:val="hybridMultilevel"/>
    <w:nsid w:val="2F000003"/>
    <w:tmpl w:val="1F0033C2"/>
    <w:lvl w:ilvl="0">
      <w:lvlJc w:val="left"/>
      <w:numFmt w:val="decimal"/>
      <w:start w:val="5"/>
      <w:suff w:val="tab"/>
      <w:rPr>
        <w:shd w:val="clear" w:color="auto" w:fill="auto"/>
      </w:rPr>
      <w:lvlText w:val="%1."/>
    </w:lvl>
    <w:lvl w:ilvl="1">
      <w:lvlJc w:val="left"/>
      <w:numFmt w:val="decimal"/>
      <w:start w:val="1"/>
      <w:suff w:val="tab"/>
      <w:rPr>
        <w:shd w:val="clear" w:color="auto" w:fill="auto"/>
      </w:rPr>
      <w:lvlText w:val="(%2)"/>
    </w:lvl>
    <w:lvl w:ilvl="2">
      <w:lvlJc w:val="left"/>
      <w:numFmt w:val="decimal"/>
      <w:start w:val="1"/>
      <w:suff w:val="tab"/>
      <w:rPr>
        <w:shd w:val="clear" w:color="auto" w:fill="auto"/>
      </w:rPr>
      <w:lvlText w:val="(%3)"/>
    </w:lvl>
    <w:lvl w:ilvl="3">
      <w:lvlJc w:val="left"/>
      <w:numFmt w:val="bullet"/>
      <w:start w:val="1"/>
      <w:suff w:val="tab"/>
      <w:rPr>
        <w:shd w:val="clear" w:color="auto" w:fill="auto"/>
      </w:rPr>
      <w:lvlText w:val=""/>
    </w:lvl>
    <w:lvl w:ilvl="4">
      <w:lvlJc w:val="left"/>
      <w:numFmt w:val="bullet"/>
      <w:start w:val="1"/>
      <w:suff w:val="tab"/>
      <w:rPr>
        <w:shd w:val="clear" w:color="auto" w:fill="auto"/>
      </w:rPr>
      <w:lvlText w:val=""/>
    </w:lvl>
    <w:lvl w:ilvl="5">
      <w:lvlJc w:val="left"/>
      <w:numFmt w:val="bullet"/>
      <w:start w:val="1"/>
      <w:suff w:val="tab"/>
      <w:rPr>
        <w:shd w:val="clear" w:color="auto" w:fill="auto"/>
      </w:rPr>
      <w:lvlText w:val=""/>
    </w:lvl>
    <w:lvl w:ilvl="6">
      <w:lvlJc w:val="left"/>
      <w:numFmt w:val="bullet"/>
      <w:start w:val="1"/>
      <w:suff w:val="tab"/>
      <w:rPr>
        <w:shd w:val="clear" w:color="auto" w:fill="auto"/>
      </w:rPr>
      <w:lvlText w:val=""/>
    </w:lvl>
    <w:lvl w:ilvl="7">
      <w:lvlJc w:val="left"/>
      <w:numFmt w:val="bullet"/>
      <w:start w:val="1"/>
      <w:suff w:val="tab"/>
      <w:rPr>
        <w:shd w:val="clear" w:color="auto" w:fill="auto"/>
      </w:rPr>
      <w:lvlText w:val=""/>
    </w:lvl>
    <w:lvl w:ilvl="8">
      <w:lvlJc w:val="left"/>
      <w:numFmt w:val="bullet"/>
      <w:start w:val="1"/>
      <w:suff w:val="tab"/>
      <w:rPr>
        <w:shd w:val="clear" w:color="auto" w:fill="auto"/>
      </w:rPr>
      <w:lvlText w:val=""/>
    </w:lvl>
  </w:abstractNum>
  <w:abstractNum w:abstractNumId="4">
    <w:multiLevelType w:val="hybridMultilevel"/>
    <w:nsid w:val="2F000004"/>
    <w:tmpl w:val="1F002570"/>
    <w:lvl w:ilvl="0">
      <w:lvlJc w:val="left"/>
      <w:numFmt w:val="decimal"/>
      <w:start w:val="1"/>
      <w:suff w:val="tab"/>
      <w:rPr>
        <w:shd w:val="clear" w:color="auto" w:fill="auto"/>
      </w:rPr>
      <w:lvlText w:val="%1"/>
    </w:lvl>
    <w:lvl w:ilvl="1">
      <w:lvlJc w:val="left"/>
      <w:numFmt w:val="decimal"/>
      <w:start w:val="7"/>
      <w:suff w:val="tab"/>
      <w:rPr>
        <w:shd w:val="clear" w:color="auto" w:fill="auto"/>
      </w:rPr>
      <w:lvlText w:val="%2."/>
    </w:lvl>
    <w:lvl w:ilvl="2">
      <w:lvlJc w:val="left"/>
      <w:numFmt w:val="lowerLetter"/>
      <w:start w:val="1"/>
      <w:suff w:val="tab"/>
      <w:rPr>
        <w:shd w:val="clear" w:color="auto" w:fill="auto"/>
      </w:rPr>
      <w:lvlText w:val="%3"/>
    </w:lvl>
    <w:lvl w:ilvl="3">
      <w:lvlJc w:val="left"/>
      <w:numFmt w:val="bullet"/>
      <w:start w:val="1"/>
      <w:suff w:val="tab"/>
      <w:rPr>
        <w:shd w:val="clear" w:color="auto" w:fill="auto"/>
      </w:rPr>
      <w:lvlText w:val=""/>
    </w:lvl>
    <w:lvl w:ilvl="4">
      <w:lvlJc w:val="left"/>
      <w:numFmt w:val="bullet"/>
      <w:start w:val="1"/>
      <w:suff w:val="tab"/>
      <w:rPr>
        <w:shd w:val="clear" w:color="auto" w:fill="auto"/>
      </w:rPr>
      <w:lvlText w:val=""/>
    </w:lvl>
    <w:lvl w:ilvl="5">
      <w:lvlJc w:val="left"/>
      <w:numFmt w:val="bullet"/>
      <w:start w:val="1"/>
      <w:suff w:val="tab"/>
      <w:rPr>
        <w:shd w:val="clear" w:color="auto" w:fill="auto"/>
      </w:rPr>
      <w:lvlText w:val=""/>
    </w:lvl>
    <w:lvl w:ilvl="6">
      <w:lvlJc w:val="left"/>
      <w:numFmt w:val="bullet"/>
      <w:start w:val="1"/>
      <w:suff w:val="tab"/>
      <w:rPr>
        <w:shd w:val="clear" w:color="auto" w:fill="auto"/>
      </w:rPr>
      <w:lvlText w:val=""/>
    </w:lvl>
    <w:lvl w:ilvl="7">
      <w:lvlJc w:val="left"/>
      <w:numFmt w:val="bullet"/>
      <w:start w:val="1"/>
      <w:suff w:val="tab"/>
      <w:rPr>
        <w:shd w:val="clear" w:color="auto" w:fill="auto"/>
      </w:rPr>
      <w:lvlText w:val=""/>
    </w:lvl>
    <w:lvl w:ilvl="8">
      <w:lvlJc w:val="left"/>
      <w:numFmt w:val="bullet"/>
      <w:start w:val="1"/>
      <w:suff w:val="tab"/>
      <w:rPr>
        <w:shd w:val="clear" w:color="auto" w:fill="auto"/>
      </w:rPr>
      <w:lvlText w:val=""/>
    </w:lvl>
  </w:abstractNum>
  <w:abstractNum w:abstractNumId="5">
    <w:multiLevelType w:val="hybridMultilevel"/>
    <w:nsid w:val="2F000005"/>
    <w:tmpl w:val="1F001EB6"/>
    <w:lvl w:ilvl="0">
      <w:lvlJc w:val="left"/>
      <w:numFmt w:val="decimal"/>
      <w:start w:val="9"/>
      <w:suff w:val="tab"/>
      <w:rPr>
        <w:shd w:val="clear" w:color="auto" w:fill="auto"/>
      </w:rPr>
      <w:lvlText w:val="%1."/>
    </w:lvl>
    <w:lvl w:ilvl="1">
      <w:lvlJc w:val="left"/>
      <w:numFmt w:val="decimal"/>
      <w:start w:val="10"/>
      <w:suff w:val="tab"/>
      <w:rPr>
        <w:shd w:val="clear" w:color="auto" w:fill="auto"/>
      </w:rPr>
      <w:lvlText w:val="%2."/>
    </w:lvl>
    <w:lvl w:ilvl="2">
      <w:lvlJc w:val="left"/>
      <w:numFmt w:val="lowerLetter"/>
      <w:start w:val="1"/>
      <w:suff w:val="tab"/>
      <w:rPr>
        <w:shd w:val="clear" w:color="auto" w:fill="auto"/>
      </w:rPr>
      <w:lvlText w:val="%3)"/>
    </w:lvl>
    <w:lvl w:ilvl="3">
      <w:lvlJc w:val="left"/>
      <w:numFmt w:val="bullet"/>
      <w:start w:val="1"/>
      <w:suff w:val="tab"/>
      <w:rPr>
        <w:shd w:val="clear" w:color="auto" w:fill="auto"/>
      </w:rPr>
      <w:lvlText w:val=""/>
    </w:lvl>
    <w:lvl w:ilvl="4">
      <w:lvlJc w:val="left"/>
      <w:numFmt w:val="bullet"/>
      <w:start w:val="1"/>
      <w:suff w:val="tab"/>
      <w:rPr>
        <w:shd w:val="clear" w:color="auto" w:fill="auto"/>
      </w:rPr>
      <w:lvlText w:val=""/>
    </w:lvl>
    <w:lvl w:ilvl="5">
      <w:lvlJc w:val="left"/>
      <w:numFmt w:val="bullet"/>
      <w:start w:val="1"/>
      <w:suff w:val="tab"/>
      <w:rPr>
        <w:shd w:val="clear" w:color="auto" w:fill="auto"/>
      </w:rPr>
      <w:lvlText w:val=""/>
    </w:lvl>
    <w:lvl w:ilvl="6">
      <w:lvlJc w:val="left"/>
      <w:numFmt w:val="bullet"/>
      <w:start w:val="1"/>
      <w:suff w:val="tab"/>
      <w:rPr>
        <w:shd w:val="clear" w:color="auto" w:fill="auto"/>
      </w:rPr>
      <w:lvlText w:val=""/>
    </w:lvl>
    <w:lvl w:ilvl="7">
      <w:lvlJc w:val="left"/>
      <w:numFmt w:val="bullet"/>
      <w:start w:val="1"/>
      <w:suff w:val="tab"/>
      <w:rPr>
        <w:shd w:val="clear" w:color="auto" w:fill="auto"/>
      </w:rPr>
      <w:lvlText w:val=""/>
    </w:lvl>
    <w:lvl w:ilvl="8">
      <w:lvlJc w:val="left"/>
      <w:numFmt w:val="bullet"/>
      <w:start w:val="1"/>
      <w:suff w:val="tab"/>
      <w:rPr>
        <w:shd w:val="clear" w:color="auto" w:fill="auto"/>
      </w:rPr>
      <w:lvlText w:val=""/>
    </w:lvl>
  </w:abstractNum>
  <w:abstractNum w:abstractNumId="6">
    <w:multiLevelType w:val="hybridMultilevel"/>
    <w:nsid w:val="2F000006"/>
    <w:tmpl w:val="1F00166B"/>
    <w:lvl w:ilvl="0">
      <w:lvlJc w:val="left"/>
      <w:numFmt w:val="lowerLetter"/>
      <w:start w:val="3"/>
      <w:suff w:val="tab"/>
      <w:rPr>
        <w:shd w:val="clear" w:color="auto" w:fill="auto"/>
      </w:rPr>
      <w:lvlText w:val="%1)"/>
    </w:lvl>
    <w:lvl w:ilvl="1">
      <w:lvlJc w:val="left"/>
      <w:numFmt w:val="bullet"/>
      <w:start w:val="1"/>
      <w:suff w:val="tab"/>
      <w:rPr>
        <w:shd w:val="clear" w:color="auto" w:fill="auto"/>
      </w:rPr>
      <w:lvlText w:val=""/>
    </w:lvl>
    <w:lvl w:ilvl="2">
      <w:lvlJc w:val="left"/>
      <w:numFmt w:val="bullet"/>
      <w:start w:val="1"/>
      <w:suff w:val="tab"/>
      <w:rPr>
        <w:shd w:val="clear" w:color="auto" w:fill="auto"/>
      </w:rPr>
      <w:lvlText w:val=""/>
    </w:lvl>
    <w:lvl w:ilvl="3">
      <w:lvlJc w:val="left"/>
      <w:numFmt w:val="bullet"/>
      <w:start w:val="1"/>
      <w:suff w:val="tab"/>
      <w:rPr>
        <w:shd w:val="clear" w:color="auto" w:fill="auto"/>
      </w:rPr>
      <w:lvlText w:val=""/>
    </w:lvl>
    <w:lvl w:ilvl="4">
      <w:lvlJc w:val="left"/>
      <w:numFmt w:val="bullet"/>
      <w:start w:val="1"/>
      <w:suff w:val="tab"/>
      <w:rPr>
        <w:shd w:val="clear" w:color="auto" w:fill="auto"/>
      </w:rPr>
      <w:lvlText w:val=""/>
    </w:lvl>
    <w:lvl w:ilvl="5">
      <w:lvlJc w:val="left"/>
      <w:numFmt w:val="bullet"/>
      <w:start w:val="1"/>
      <w:suff w:val="tab"/>
      <w:rPr>
        <w:shd w:val="clear" w:color="auto" w:fill="auto"/>
      </w:rPr>
      <w:lvlText w:val=""/>
    </w:lvl>
    <w:lvl w:ilvl="6">
      <w:lvlJc w:val="left"/>
      <w:numFmt w:val="bullet"/>
      <w:start w:val="1"/>
      <w:suff w:val="tab"/>
      <w:rPr>
        <w:shd w:val="clear" w:color="auto" w:fill="auto"/>
      </w:rPr>
      <w:lvlText w:val=""/>
    </w:lvl>
    <w:lvl w:ilvl="7">
      <w:lvlJc w:val="left"/>
      <w:numFmt w:val="bullet"/>
      <w:start w:val="1"/>
      <w:suff w:val="tab"/>
      <w:rPr>
        <w:shd w:val="clear" w:color="auto" w:fill="auto"/>
      </w:rPr>
      <w:lvlText w:val=""/>
    </w:lvl>
    <w:lvl w:ilvl="8">
      <w:lvlJc w:val="left"/>
      <w:numFmt w:val="bullet"/>
      <w:start w:val="1"/>
      <w:suff w:val="tab"/>
      <w:rPr>
        <w:shd w:val="clear" w:color="auto" w:fill="auto"/>
      </w:rPr>
      <w:lvlText w:val=""/>
    </w:lvl>
  </w:abstractNum>
  <w:abstractNum w:abstractNumId="7">
    <w:multiLevelType w:val="hybridMultilevel"/>
    <w:nsid w:val="2F000007"/>
    <w:tmpl w:val="1F003957"/>
    <w:lvl w:ilvl="0">
      <w:lvlJc w:val="left"/>
      <w:numFmt w:val="lowerLetter"/>
      <w:start w:val="6"/>
      <w:suff w:val="tab"/>
      <w:rPr>
        <w:shd w:val="clear" w:color="auto" w:fill="auto"/>
      </w:rPr>
      <w:lvlText w:val="%1)"/>
    </w:lvl>
    <w:lvl w:ilvl="1">
      <w:lvlJc w:val="left"/>
      <w:numFmt w:val="bullet"/>
      <w:start w:val="1"/>
      <w:suff w:val="tab"/>
      <w:rPr>
        <w:shd w:val="clear" w:color="auto" w:fill="auto"/>
      </w:rPr>
      <w:lvlText w:val=""/>
    </w:lvl>
    <w:lvl w:ilvl="2">
      <w:lvlJc w:val="left"/>
      <w:numFmt w:val="bullet"/>
      <w:start w:val="1"/>
      <w:suff w:val="tab"/>
      <w:rPr>
        <w:shd w:val="clear" w:color="auto" w:fill="auto"/>
      </w:rPr>
      <w:lvlText w:val=""/>
    </w:lvl>
    <w:lvl w:ilvl="3">
      <w:lvlJc w:val="left"/>
      <w:numFmt w:val="bullet"/>
      <w:start w:val="1"/>
      <w:suff w:val="tab"/>
      <w:rPr>
        <w:shd w:val="clear" w:color="auto" w:fill="auto"/>
      </w:rPr>
      <w:lvlText w:val=""/>
    </w:lvl>
    <w:lvl w:ilvl="4">
      <w:lvlJc w:val="left"/>
      <w:numFmt w:val="bullet"/>
      <w:start w:val="1"/>
      <w:suff w:val="tab"/>
      <w:rPr>
        <w:shd w:val="clear" w:color="auto" w:fill="auto"/>
      </w:rPr>
      <w:lvlText w:val=""/>
    </w:lvl>
    <w:lvl w:ilvl="5">
      <w:lvlJc w:val="left"/>
      <w:numFmt w:val="bullet"/>
      <w:start w:val="1"/>
      <w:suff w:val="tab"/>
      <w:rPr>
        <w:shd w:val="clear" w:color="auto" w:fill="auto"/>
      </w:rPr>
      <w:lvlText w:val=""/>
    </w:lvl>
    <w:lvl w:ilvl="6">
      <w:lvlJc w:val="left"/>
      <w:numFmt w:val="bullet"/>
      <w:start w:val="1"/>
      <w:suff w:val="tab"/>
      <w:rPr>
        <w:shd w:val="clear" w:color="auto" w:fill="auto"/>
      </w:rPr>
      <w:lvlText w:val=""/>
    </w:lvl>
    <w:lvl w:ilvl="7">
      <w:lvlJc w:val="left"/>
      <w:numFmt w:val="bullet"/>
      <w:start w:val="1"/>
      <w:suff w:val="tab"/>
      <w:rPr>
        <w:shd w:val="clear" w:color="auto" w:fill="auto"/>
      </w:rPr>
      <w:lvlText w:val=""/>
    </w:lvl>
    <w:lvl w:ilvl="8">
      <w:lvlJc w:val="left"/>
      <w:numFmt w:val="bullet"/>
      <w:start w:val="1"/>
      <w:suff w:val="tab"/>
      <w:rPr>
        <w:shd w:val="clear" w:color="auto" w:fill="auto"/>
      </w:rPr>
      <w:lvlText w:val=""/>
    </w:lvl>
  </w:abstractNum>
  <w:abstractNum w:abstractNumId="8">
    <w:multiLevelType w:val="hybridMultilevel"/>
    <w:nsid w:val="2F000008"/>
    <w:tmpl w:val="1F0034A9"/>
    <w:lvl w:ilvl="0">
      <w:lvlJc w:val="left"/>
      <w:numFmt w:val="lowerRoman"/>
      <w:start w:val="1"/>
      <w:suff w:val="tab"/>
      <w:rPr>
        <w:shd w:val="clear" w:color="auto" w:fill="auto"/>
      </w:rPr>
      <w:lvlText w:val="%1."/>
    </w:lvl>
    <w:lvl w:ilvl="1">
      <w:lvlJc w:val="left"/>
      <w:numFmt w:val="lowerRoman"/>
      <w:start w:val="2"/>
      <w:suff w:val="tab"/>
      <w:rPr>
        <w:shd w:val="clear" w:color="auto" w:fill="auto"/>
      </w:rPr>
      <w:lvlText w:val="%2."/>
    </w:lvl>
    <w:lvl w:ilvl="2">
      <w:lvlJc w:val="left"/>
      <w:numFmt w:val="bullet"/>
      <w:start w:val="1"/>
      <w:suff w:val="tab"/>
      <w:rPr>
        <w:shd w:val="clear" w:color="auto" w:fill="auto"/>
      </w:rPr>
      <w:lvlText w:val=""/>
    </w:lvl>
    <w:lvl w:ilvl="3">
      <w:lvlJc w:val="left"/>
      <w:numFmt w:val="bullet"/>
      <w:start w:val="1"/>
      <w:suff w:val="tab"/>
      <w:rPr>
        <w:shd w:val="clear" w:color="auto" w:fill="auto"/>
      </w:rPr>
      <w:lvlText w:val=""/>
    </w:lvl>
    <w:lvl w:ilvl="4">
      <w:lvlJc w:val="left"/>
      <w:numFmt w:val="bullet"/>
      <w:start w:val="1"/>
      <w:suff w:val="tab"/>
      <w:rPr>
        <w:shd w:val="clear" w:color="auto" w:fill="auto"/>
      </w:rPr>
      <w:lvlText w:val=""/>
    </w:lvl>
    <w:lvl w:ilvl="5">
      <w:lvlJc w:val="left"/>
      <w:numFmt w:val="bullet"/>
      <w:start w:val="1"/>
      <w:suff w:val="tab"/>
      <w:rPr>
        <w:shd w:val="clear" w:color="auto" w:fill="auto"/>
      </w:rPr>
      <w:lvlText w:val=""/>
    </w:lvl>
    <w:lvl w:ilvl="6">
      <w:lvlJc w:val="left"/>
      <w:numFmt w:val="bullet"/>
      <w:start w:val="1"/>
      <w:suff w:val="tab"/>
      <w:rPr>
        <w:shd w:val="clear" w:color="auto" w:fill="auto"/>
      </w:rPr>
      <w:lvlText w:val=""/>
    </w:lvl>
    <w:lvl w:ilvl="7">
      <w:lvlJc w:val="left"/>
      <w:numFmt w:val="bullet"/>
      <w:start w:val="1"/>
      <w:suff w:val="tab"/>
      <w:rPr>
        <w:shd w:val="clear" w:color="auto" w:fill="auto"/>
      </w:rPr>
      <w:lvlText w:val=""/>
    </w:lvl>
    <w:lvl w:ilvl="8">
      <w:lvlJc w:val="left"/>
      <w:numFmt w:val="bullet"/>
      <w:start w:val="1"/>
      <w:suff w:val="tab"/>
      <w:rPr>
        <w:shd w:val="clear" w:color="auto" w:fill="auto"/>
      </w:rPr>
      <w:lvlText w:val=""/>
    </w:lvl>
  </w:abstractNum>
  <w:abstractNum w:abstractNumId="9">
    <w:multiLevelType w:val="hybridMultilevel"/>
    <w:nsid w:val="2F000009"/>
    <w:tmpl w:val="1F002FC8"/>
    <w:lvl w:ilvl="0">
      <w:lvlJc w:val="left"/>
      <w:numFmt w:val="lowerRoman"/>
      <w:start w:val="4"/>
      <w:suff w:val="tab"/>
      <w:rPr>
        <w:shd w:val="clear" w:color="auto" w:fill="auto"/>
      </w:rPr>
      <w:lvlText w:val="%1."/>
    </w:lvl>
    <w:lvl w:ilvl="1">
      <w:lvlJc w:val="left"/>
      <w:numFmt w:val="bullet"/>
      <w:start w:val="1"/>
      <w:suff w:val="tab"/>
      <w:rPr>
        <w:shd w:val="clear" w:color="auto" w:fill="auto"/>
      </w:rPr>
      <w:lvlText w:val="§"/>
    </w:lvl>
    <w:lvl w:ilvl="2">
      <w:lvlJc w:val="left"/>
      <w:numFmt w:val="bullet"/>
      <w:start w:val="1"/>
      <w:suff w:val="tab"/>
      <w:rPr>
        <w:shd w:val="clear" w:color="auto" w:fill="auto"/>
      </w:rPr>
      <w:lvlText w:val=""/>
    </w:lvl>
    <w:lvl w:ilvl="3">
      <w:lvlJc w:val="left"/>
      <w:numFmt w:val="bullet"/>
      <w:start w:val="1"/>
      <w:suff w:val="tab"/>
      <w:rPr>
        <w:shd w:val="clear" w:color="auto" w:fill="auto"/>
      </w:rPr>
      <w:lvlText w:val=""/>
    </w:lvl>
    <w:lvl w:ilvl="4">
      <w:lvlJc w:val="left"/>
      <w:numFmt w:val="bullet"/>
      <w:start w:val="1"/>
      <w:suff w:val="tab"/>
      <w:rPr>
        <w:shd w:val="clear" w:color="auto" w:fill="auto"/>
      </w:rPr>
      <w:lvlText w:val=""/>
    </w:lvl>
    <w:lvl w:ilvl="5">
      <w:lvlJc w:val="left"/>
      <w:numFmt w:val="bullet"/>
      <w:start w:val="1"/>
      <w:suff w:val="tab"/>
      <w:rPr>
        <w:shd w:val="clear" w:color="auto" w:fill="auto"/>
      </w:rPr>
      <w:lvlText w:val=""/>
    </w:lvl>
    <w:lvl w:ilvl="6">
      <w:lvlJc w:val="left"/>
      <w:numFmt w:val="bullet"/>
      <w:start w:val="1"/>
      <w:suff w:val="tab"/>
      <w:rPr>
        <w:shd w:val="clear" w:color="auto" w:fill="auto"/>
      </w:rPr>
      <w:lvlText w:val=""/>
    </w:lvl>
    <w:lvl w:ilvl="7">
      <w:lvlJc w:val="left"/>
      <w:numFmt w:val="bullet"/>
      <w:start w:val="1"/>
      <w:suff w:val="tab"/>
      <w:rPr>
        <w:shd w:val="clear" w:color="auto" w:fill="auto"/>
      </w:rPr>
      <w:lvlText w:val=""/>
    </w:lvl>
    <w:lvl w:ilvl="8">
      <w:lvlJc w:val="left"/>
      <w:numFmt w:val="bullet"/>
      <w:start w:val="1"/>
      <w:suff w:val="tab"/>
      <w:rPr>
        <w:shd w:val="clear" w:color="auto" w:fill="auto"/>
      </w:rPr>
      <w:lvlText w:val=""/>
    </w:lvl>
  </w:abstractNum>
  <w:abstractNum w:abstractNumId="10">
    <w:multiLevelType w:val="hybridMultilevel"/>
    <w:nsid w:val="2F00000A"/>
    <w:tmpl w:val="1F000B24"/>
    <w:lvl w:ilvl="0">
      <w:lvlJc w:val="left"/>
      <w:numFmt w:val="lowerRoman"/>
      <w:start w:val="5"/>
      <w:suff w:val="tab"/>
      <w:rPr>
        <w:shd w:val="clear" w:color="auto" w:fill="auto"/>
      </w:rPr>
      <w:lvlText w:val="%1."/>
    </w:lvl>
    <w:lvl w:ilvl="1">
      <w:lvlJc w:val="left"/>
      <w:numFmt w:val="lowerRoman"/>
      <w:start w:val="7"/>
      <w:suff w:val="tab"/>
      <w:rPr>
        <w:shd w:val="clear" w:color="auto" w:fill="auto"/>
      </w:rPr>
      <w:lvlText w:val="%2."/>
    </w:lvl>
    <w:lvl w:ilvl="2">
      <w:lvlJc w:val="left"/>
      <w:numFmt w:val="bullet"/>
      <w:start w:val="1"/>
      <w:suff w:val="tab"/>
      <w:rPr>
        <w:shd w:val="clear" w:color="auto" w:fill="auto"/>
      </w:rPr>
      <w:lvlText w:val=""/>
    </w:lvl>
    <w:lvl w:ilvl="3">
      <w:lvlJc w:val="left"/>
      <w:numFmt w:val="bullet"/>
      <w:start w:val="1"/>
      <w:suff w:val="tab"/>
      <w:rPr>
        <w:shd w:val="clear" w:color="auto" w:fill="auto"/>
      </w:rPr>
      <w:lvlText w:val=""/>
    </w:lvl>
    <w:lvl w:ilvl="4">
      <w:lvlJc w:val="left"/>
      <w:numFmt w:val="bullet"/>
      <w:start w:val="1"/>
      <w:suff w:val="tab"/>
      <w:rPr>
        <w:shd w:val="clear" w:color="auto" w:fill="auto"/>
      </w:rPr>
      <w:lvlText w:val=""/>
    </w:lvl>
    <w:lvl w:ilvl="5">
      <w:lvlJc w:val="left"/>
      <w:numFmt w:val="bullet"/>
      <w:start w:val="1"/>
      <w:suff w:val="tab"/>
      <w:rPr>
        <w:shd w:val="clear" w:color="auto" w:fill="auto"/>
      </w:rPr>
      <w:lvlText w:val=""/>
    </w:lvl>
    <w:lvl w:ilvl="6">
      <w:lvlJc w:val="left"/>
      <w:numFmt w:val="bullet"/>
      <w:start w:val="1"/>
      <w:suff w:val="tab"/>
      <w:rPr>
        <w:shd w:val="clear" w:color="auto" w:fill="auto"/>
      </w:rPr>
      <w:lvlText w:val=""/>
    </w:lvl>
    <w:lvl w:ilvl="7">
      <w:lvlJc w:val="left"/>
      <w:numFmt w:val="bullet"/>
      <w:start w:val="1"/>
      <w:suff w:val="tab"/>
      <w:rPr>
        <w:shd w:val="clear" w:color="auto" w:fill="auto"/>
      </w:rPr>
      <w:lvlText w:val=""/>
    </w:lvl>
    <w:lvl w:ilvl="8">
      <w:lvlJc w:val="left"/>
      <w:numFmt w:val="bullet"/>
      <w:start w:val="1"/>
      <w:suff w:val="tab"/>
      <w:rPr>
        <w:shd w:val="clear" w:color="auto" w:fill="auto"/>
      </w:rPr>
      <w:lvlText w:val=""/>
    </w:lvl>
  </w:abstractNum>
  <w:abstractNum w:abstractNumId="11">
    <w:multiLevelType w:val="hybridMultilevel"/>
    <w:nsid w:val="2F00000B"/>
    <w:tmpl w:val="1F0036F8"/>
    <w:lvl w:ilvl="0">
      <w:lvlJc w:val="left"/>
      <w:numFmt w:val="lowerRoman"/>
      <w:start w:val="8"/>
      <w:suff w:val="tab"/>
      <w:rPr>
        <w:shd w:val="clear" w:color="auto" w:fill="auto"/>
      </w:rPr>
      <w:lvlText w:val="%1."/>
    </w:lvl>
    <w:lvl w:ilvl="1">
      <w:lvlJc w:val="left"/>
      <w:numFmt w:val="bullet"/>
      <w:start w:val="1"/>
      <w:suff w:val="tab"/>
      <w:rPr>
        <w:shd w:val="clear" w:color="auto" w:fill="auto"/>
      </w:rPr>
      <w:lvlText w:val=""/>
    </w:lvl>
    <w:lvl w:ilvl="2">
      <w:lvlJc w:val="left"/>
      <w:numFmt w:val="bullet"/>
      <w:start w:val="1"/>
      <w:suff w:val="tab"/>
      <w:rPr>
        <w:shd w:val="clear" w:color="auto" w:fill="auto"/>
      </w:rPr>
      <w:lvlText w:val=""/>
    </w:lvl>
    <w:lvl w:ilvl="3">
      <w:lvlJc w:val="left"/>
      <w:numFmt w:val="bullet"/>
      <w:start w:val="1"/>
      <w:suff w:val="tab"/>
      <w:rPr>
        <w:shd w:val="clear" w:color="auto" w:fill="auto"/>
      </w:rPr>
      <w:lvlText w:val=""/>
    </w:lvl>
    <w:lvl w:ilvl="4">
      <w:lvlJc w:val="left"/>
      <w:numFmt w:val="bullet"/>
      <w:start w:val="1"/>
      <w:suff w:val="tab"/>
      <w:rPr>
        <w:shd w:val="clear" w:color="auto" w:fill="auto"/>
      </w:rPr>
      <w:lvlText w:val=""/>
    </w:lvl>
    <w:lvl w:ilvl="5">
      <w:lvlJc w:val="left"/>
      <w:numFmt w:val="bullet"/>
      <w:start w:val="1"/>
      <w:suff w:val="tab"/>
      <w:rPr>
        <w:shd w:val="clear" w:color="auto" w:fill="auto"/>
      </w:rPr>
      <w:lvlText w:val=""/>
    </w:lvl>
    <w:lvl w:ilvl="6">
      <w:lvlJc w:val="left"/>
      <w:numFmt w:val="bullet"/>
      <w:start w:val="1"/>
      <w:suff w:val="tab"/>
      <w:rPr>
        <w:shd w:val="clear" w:color="auto" w:fill="auto"/>
      </w:rPr>
      <w:lvlText w:val=""/>
    </w:lvl>
    <w:lvl w:ilvl="7">
      <w:lvlJc w:val="left"/>
      <w:numFmt w:val="bullet"/>
      <w:start w:val="1"/>
      <w:suff w:val="tab"/>
      <w:rPr>
        <w:shd w:val="clear" w:color="auto" w:fill="auto"/>
      </w:rPr>
      <w:lvlText w:val=""/>
    </w:lvl>
    <w:lvl w:ilvl="8">
      <w:lvlJc w:val="left"/>
      <w:numFmt w:val="bullet"/>
      <w:start w:val="1"/>
      <w:suff w:val="tab"/>
      <w:rPr>
        <w:shd w:val="clear" w:color="auto" w:fill="auto"/>
      </w:rPr>
      <w:lvlText w:val=""/>
    </w:lvl>
  </w:abstractNum>
  <w:abstractNum w:abstractNumId="12">
    <w:multiLevelType w:val="hybridMultilevel"/>
    <w:nsid w:val="2F00000C"/>
    <w:tmpl w:val="1F002D78"/>
    <w:lvl w:ilvl="0">
      <w:lvlJc w:val="left"/>
      <w:numFmt w:val="bullet"/>
      <w:start w:val="1"/>
      <w:suff w:val="tab"/>
      <w:rPr>
        <w:shd w:val="clear" w:color="auto" w:fill="auto"/>
      </w:rPr>
      <w:lvlText w:val="·"/>
    </w:lvl>
    <w:lvl w:ilvl="1">
      <w:lvlJc w:val="left"/>
      <w:numFmt w:val="bullet"/>
      <w:start w:val="1"/>
      <w:suff w:val="tab"/>
      <w:rPr>
        <w:shd w:val="clear" w:color="auto" w:fill="auto"/>
      </w:rPr>
      <w:lvlText w:val=""/>
    </w:lvl>
    <w:lvl w:ilvl="2">
      <w:lvlJc w:val="left"/>
      <w:numFmt w:val="bullet"/>
      <w:start w:val="1"/>
      <w:suff w:val="tab"/>
      <w:rPr>
        <w:shd w:val="clear" w:color="auto" w:fill="auto"/>
      </w:rPr>
      <w:lvlText w:val=""/>
    </w:lvl>
    <w:lvl w:ilvl="3">
      <w:lvlJc w:val="left"/>
      <w:numFmt w:val="bullet"/>
      <w:start w:val="1"/>
      <w:suff w:val="tab"/>
      <w:rPr>
        <w:shd w:val="clear" w:color="auto" w:fill="auto"/>
      </w:rPr>
      <w:lvlText w:val=""/>
    </w:lvl>
    <w:lvl w:ilvl="4">
      <w:lvlJc w:val="left"/>
      <w:numFmt w:val="bullet"/>
      <w:start w:val="1"/>
      <w:suff w:val="tab"/>
      <w:rPr>
        <w:shd w:val="clear" w:color="auto" w:fill="auto"/>
      </w:rPr>
      <w:lvlText w:val=""/>
    </w:lvl>
    <w:lvl w:ilvl="5">
      <w:lvlJc w:val="left"/>
      <w:numFmt w:val="bullet"/>
      <w:start w:val="1"/>
      <w:suff w:val="tab"/>
      <w:rPr>
        <w:shd w:val="clear" w:color="auto" w:fill="auto"/>
      </w:rPr>
      <w:lvlText w:val=""/>
    </w:lvl>
    <w:lvl w:ilvl="6">
      <w:lvlJc w:val="left"/>
      <w:numFmt w:val="bullet"/>
      <w:start w:val="1"/>
      <w:suff w:val="tab"/>
      <w:rPr>
        <w:shd w:val="clear" w:color="auto" w:fill="auto"/>
      </w:rPr>
      <w:lvlText w:val=""/>
    </w:lvl>
    <w:lvl w:ilvl="7">
      <w:lvlJc w:val="left"/>
      <w:numFmt w:val="bullet"/>
      <w:start w:val="1"/>
      <w:suff w:val="tab"/>
      <w:rPr>
        <w:shd w:val="clear" w:color="auto" w:fill="auto"/>
      </w:rPr>
      <w:lvlText w:val=""/>
    </w:lvl>
    <w:lvl w:ilvl="8">
      <w:lvlJc w:val="left"/>
      <w:numFmt w:val="bullet"/>
      <w:start w:val="1"/>
      <w:suff w:val="tab"/>
      <w:rPr>
        <w:shd w:val="clear" w:color="auto" w:fill="auto"/>
      </w:rPr>
      <w:lvlText w:val=""/>
    </w:lvl>
  </w:abstractNum>
  <w:abstractNum w:abstractNumId="13">
    <w:multiLevelType w:val="hybridMultilevel"/>
    <w:nsid w:val="2F00000D"/>
    <w:tmpl w:val="1F0020DD"/>
    <w:lvl w:ilvl="0">
      <w:lvlJc w:val="left"/>
      <w:numFmt w:val="decimal"/>
      <w:start w:val="14"/>
      <w:suff w:val="tab"/>
      <w:rPr>
        <w:shd w:val="clear" w:color="auto" w:fill="auto"/>
      </w:rPr>
      <w:lvlText w:val="%1."/>
    </w:lvl>
    <w:lvl w:ilvl="1">
      <w:lvlJc w:val="left"/>
      <w:numFmt w:val="lowerLetter"/>
      <w:start w:val="1"/>
      <w:suff w:val="tab"/>
      <w:rPr>
        <w:shd w:val="clear" w:color="auto" w:fill="auto"/>
      </w:rPr>
      <w:lvlText w:val="%2."/>
    </w:lvl>
    <w:lvl w:ilvl="2">
      <w:lvlJc w:val="left"/>
      <w:numFmt w:val="bullet"/>
      <w:start w:val="1"/>
      <w:suff w:val="tab"/>
      <w:rPr>
        <w:shd w:val="clear" w:color="auto" w:fill="auto"/>
      </w:rPr>
      <w:lvlText w:val=""/>
    </w:lvl>
    <w:lvl w:ilvl="3">
      <w:lvlJc w:val="left"/>
      <w:numFmt w:val="bullet"/>
      <w:start w:val="1"/>
      <w:suff w:val="tab"/>
      <w:rPr>
        <w:shd w:val="clear" w:color="auto" w:fill="auto"/>
      </w:rPr>
      <w:lvlText w:val=""/>
    </w:lvl>
    <w:lvl w:ilvl="4">
      <w:lvlJc w:val="left"/>
      <w:numFmt w:val="bullet"/>
      <w:start w:val="1"/>
      <w:suff w:val="tab"/>
      <w:rPr>
        <w:shd w:val="clear" w:color="auto" w:fill="auto"/>
      </w:rPr>
      <w:lvlText w:val=""/>
    </w:lvl>
    <w:lvl w:ilvl="5">
      <w:lvlJc w:val="left"/>
      <w:numFmt w:val="bullet"/>
      <w:start w:val="1"/>
      <w:suff w:val="tab"/>
      <w:rPr>
        <w:shd w:val="clear" w:color="auto" w:fill="auto"/>
      </w:rPr>
      <w:lvlText w:val=""/>
    </w:lvl>
    <w:lvl w:ilvl="6">
      <w:lvlJc w:val="left"/>
      <w:numFmt w:val="bullet"/>
      <w:start w:val="1"/>
      <w:suff w:val="tab"/>
      <w:rPr>
        <w:shd w:val="clear" w:color="auto" w:fill="auto"/>
      </w:rPr>
      <w:lvlText w:val=""/>
    </w:lvl>
    <w:lvl w:ilvl="7">
      <w:lvlJc w:val="left"/>
      <w:numFmt w:val="bullet"/>
      <w:start w:val="1"/>
      <w:suff w:val="tab"/>
      <w:rPr>
        <w:shd w:val="clear" w:color="auto" w:fill="auto"/>
      </w:rPr>
      <w:lvlText w:val=""/>
    </w:lvl>
    <w:lvl w:ilvl="8">
      <w:lvlJc w:val="left"/>
      <w:numFmt w:val="bullet"/>
      <w:start w:val="1"/>
      <w:suff w:val="tab"/>
      <w:rPr>
        <w:shd w:val="clear" w:color="auto" w:fill="auto"/>
      </w:rPr>
      <w:lvlText w:val=""/>
    </w:lvl>
  </w:abstractNum>
  <w:abstractNum w:abstractNumId="14">
    <w:multiLevelType w:val="hybridMultilevel"/>
    <w:nsid w:val="2F00000E"/>
    <w:tmpl w:val="1F001374"/>
    <w:lvl w:ilvl="0">
      <w:lvlJc w:val="left"/>
      <w:numFmt w:val="decimal"/>
      <w:start w:val="1"/>
      <w:suff w:val="tab"/>
      <w:rPr>
        <w:shd w:val="clear" w:color="auto" w:fill="auto"/>
      </w:rPr>
      <w:lvlText w:val="%1"/>
    </w:lvl>
    <w:lvl w:ilvl="1">
      <w:lvlJc w:val="left"/>
      <w:numFmt w:val="lowerLetter"/>
      <w:start w:val="1"/>
      <w:suff w:val="tab"/>
      <w:rPr>
        <w:shd w:val="clear" w:color="auto" w:fill="auto"/>
      </w:rPr>
      <w:lvlText w:val="%2"/>
    </w:lvl>
    <w:lvl w:ilvl="2">
      <w:lvlJc w:val="left"/>
      <w:numFmt w:val="lowerLetter"/>
      <w:start w:val="7"/>
      <w:suff w:val="tab"/>
      <w:rPr>
        <w:shd w:val="clear" w:color="auto" w:fill="auto"/>
      </w:rPr>
      <w:lvlText w:val="%3."/>
    </w:lvl>
    <w:lvl w:ilvl="3">
      <w:lvlJc w:val="left"/>
      <w:numFmt w:val="bullet"/>
      <w:start w:val="1"/>
      <w:suff w:val="tab"/>
      <w:rPr>
        <w:shd w:val="clear" w:color="auto" w:fill="auto"/>
      </w:rPr>
      <w:lvlText w:val=""/>
    </w:lvl>
    <w:lvl w:ilvl="4">
      <w:lvlJc w:val="left"/>
      <w:numFmt w:val="bullet"/>
      <w:start w:val="1"/>
      <w:suff w:val="tab"/>
      <w:rPr>
        <w:shd w:val="clear" w:color="auto" w:fill="auto"/>
      </w:rPr>
      <w:lvlText w:val=""/>
    </w:lvl>
    <w:lvl w:ilvl="5">
      <w:lvlJc w:val="left"/>
      <w:numFmt w:val="bullet"/>
      <w:start w:val="1"/>
      <w:suff w:val="tab"/>
      <w:rPr>
        <w:shd w:val="clear" w:color="auto" w:fill="auto"/>
      </w:rPr>
      <w:lvlText w:val=""/>
    </w:lvl>
    <w:lvl w:ilvl="6">
      <w:lvlJc w:val="left"/>
      <w:numFmt w:val="bullet"/>
      <w:start w:val="1"/>
      <w:suff w:val="tab"/>
      <w:rPr>
        <w:shd w:val="clear" w:color="auto" w:fill="auto"/>
      </w:rPr>
      <w:lvlText w:val=""/>
    </w:lvl>
    <w:lvl w:ilvl="7">
      <w:lvlJc w:val="left"/>
      <w:numFmt w:val="bullet"/>
      <w:start w:val="1"/>
      <w:suff w:val="tab"/>
      <w:rPr>
        <w:shd w:val="clear" w:color="auto" w:fill="auto"/>
      </w:rPr>
      <w:lvlText w:val=""/>
    </w:lvl>
    <w:lvl w:ilvl="8">
      <w:lvlJc w:val="left"/>
      <w:numFmt w:val="bullet"/>
      <w:start w:val="1"/>
      <w:suff w:val="tab"/>
      <w:rPr>
        <w:shd w:val="clear" w:color="auto" w:fill="auto"/>
      </w:rPr>
      <w:lvlText w:val=""/>
    </w:lvl>
  </w:abstractNum>
  <w:abstractNum w:abstractNumId="15">
    <w:multiLevelType w:val="hybridMultilevel"/>
    <w:nsid w:val="2F00000F"/>
    <w:tmpl w:val="1F0000F5"/>
    <w:lvl w:ilvl="0">
      <w:lvlJc w:val="left"/>
      <w:numFmt w:val="decimal"/>
      <w:start w:val="1"/>
      <w:suff w:val="tab"/>
      <w:rPr>
        <w:shd w:val="clear" w:color="auto" w:fill="auto"/>
      </w:rPr>
      <w:lvlText w:val="%1"/>
    </w:lvl>
    <w:lvl w:ilvl="1">
      <w:lvlJc w:val="left"/>
      <w:numFmt w:val="lowerLetter"/>
      <w:start w:val="8"/>
      <w:suff w:val="tab"/>
      <w:rPr>
        <w:shd w:val="clear" w:color="auto" w:fill="auto"/>
      </w:rPr>
      <w:lvlText w:val="%2."/>
    </w:lvl>
    <w:lvl w:ilvl="2">
      <w:lvlJc w:val="left"/>
      <w:numFmt w:val="lowerLetter"/>
      <w:start w:val="1"/>
      <w:suff w:val="tab"/>
      <w:rPr>
        <w:shd w:val="clear" w:color="auto" w:fill="auto"/>
      </w:rPr>
      <w:lvlText w:val="%3"/>
    </w:lvl>
    <w:lvl w:ilvl="3">
      <w:lvlJc w:val="left"/>
      <w:numFmt w:val="bullet"/>
      <w:start w:val="1"/>
      <w:suff w:val="tab"/>
      <w:rPr>
        <w:shd w:val="clear" w:color="auto" w:fill="auto"/>
      </w:rPr>
      <w:lvlText w:val=""/>
    </w:lvl>
    <w:lvl w:ilvl="4">
      <w:lvlJc w:val="left"/>
      <w:numFmt w:val="bullet"/>
      <w:start w:val="1"/>
      <w:suff w:val="tab"/>
      <w:rPr>
        <w:shd w:val="clear" w:color="auto" w:fill="auto"/>
      </w:rPr>
      <w:lvlText w:val=""/>
    </w:lvl>
    <w:lvl w:ilvl="5">
      <w:lvlJc w:val="left"/>
      <w:numFmt w:val="bullet"/>
      <w:start w:val="1"/>
      <w:suff w:val="tab"/>
      <w:rPr>
        <w:shd w:val="clear" w:color="auto" w:fill="auto"/>
      </w:rPr>
      <w:lvlText w:val=""/>
    </w:lvl>
    <w:lvl w:ilvl="6">
      <w:lvlJc w:val="left"/>
      <w:numFmt w:val="bullet"/>
      <w:start w:val="1"/>
      <w:suff w:val="tab"/>
      <w:rPr>
        <w:shd w:val="clear" w:color="auto" w:fill="auto"/>
      </w:rPr>
      <w:lvlText w:val=""/>
    </w:lvl>
    <w:lvl w:ilvl="7">
      <w:lvlJc w:val="left"/>
      <w:numFmt w:val="bullet"/>
      <w:start w:val="1"/>
      <w:suff w:val="tab"/>
      <w:rPr>
        <w:shd w:val="clear" w:color="auto" w:fill="auto"/>
      </w:rPr>
      <w:lvlText w:val=""/>
    </w:lvl>
    <w:lvl w:ilvl="8">
      <w:lvlJc w:val="left"/>
      <w:numFmt w:val="bullet"/>
      <w:start w:val="1"/>
      <w:suff w:val="tab"/>
      <w:rPr>
        <w:shd w:val="clear" w:color="auto" w:fill="auto"/>
      </w:rPr>
      <w:lvlText w:val=""/>
    </w:lvl>
  </w:abstractNum>
  <w:abstractNum w:abstractNumId="16">
    <w:multiLevelType w:val="hybridMultilevel"/>
    <w:nsid w:val="2F000010"/>
    <w:tmpl w:val="1F0005D9"/>
    <w:lvl w:ilvl="0">
      <w:lvlJc w:val="left"/>
      <w:numFmt w:val="decimal"/>
      <w:start w:val="15"/>
      <w:suff w:val="tab"/>
      <w:rPr>
        <w:color w:val="auto"/>
        <w:shd w:val="clear" w:color="auto" w:fill="auto"/>
      </w:rPr>
      <w:lvlText w:val="%1."/>
    </w:lvl>
    <w:lvl w:ilvl="1">
      <w:lvlJc w:val="left"/>
      <w:numFmt w:val="lowerLetter"/>
      <w:start w:val="1"/>
      <w:suff w:val="tab"/>
      <w:rPr>
        <w:shd w:val="clear" w:color="auto" w:fill="auto"/>
      </w:rPr>
      <w:lvlText w:val="%2"/>
    </w:lvl>
    <w:lvl w:ilvl="2">
      <w:lvlJc w:val="left"/>
      <w:numFmt w:val="lowerLetter"/>
      <w:start w:val="1"/>
      <w:suff w:val="tab"/>
      <w:rPr>
        <w:shd w:val="clear" w:color="auto" w:fill="auto"/>
      </w:rPr>
      <w:lvlText w:val="%3"/>
    </w:lvl>
    <w:lvl w:ilvl="3">
      <w:lvlJc w:val="left"/>
      <w:numFmt w:val="bullet"/>
      <w:start w:val="1"/>
      <w:suff w:val="tab"/>
      <w:rPr>
        <w:shd w:val="clear" w:color="auto" w:fill="auto"/>
      </w:rPr>
      <w:lvlText w:val=""/>
    </w:lvl>
    <w:lvl w:ilvl="4">
      <w:lvlJc w:val="left"/>
      <w:numFmt w:val="bullet"/>
      <w:start w:val="1"/>
      <w:suff w:val="tab"/>
      <w:rPr>
        <w:shd w:val="clear" w:color="auto" w:fill="auto"/>
      </w:rPr>
      <w:lvlText w:val=""/>
    </w:lvl>
    <w:lvl w:ilvl="5">
      <w:lvlJc w:val="left"/>
      <w:numFmt w:val="bullet"/>
      <w:start w:val="1"/>
      <w:suff w:val="tab"/>
      <w:rPr>
        <w:shd w:val="clear" w:color="auto" w:fill="auto"/>
      </w:rPr>
      <w:lvlText w:val=""/>
    </w:lvl>
    <w:lvl w:ilvl="6">
      <w:lvlJc w:val="left"/>
      <w:numFmt w:val="bullet"/>
      <w:start w:val="1"/>
      <w:suff w:val="tab"/>
      <w:rPr>
        <w:shd w:val="clear" w:color="auto" w:fill="auto"/>
      </w:rPr>
      <w:lvlText w:val=""/>
    </w:lvl>
    <w:lvl w:ilvl="7">
      <w:lvlJc w:val="left"/>
      <w:numFmt w:val="bullet"/>
      <w:start w:val="1"/>
      <w:suff w:val="tab"/>
      <w:rPr>
        <w:shd w:val="clear" w:color="auto" w:fill="auto"/>
      </w:rPr>
      <w:lvlText w:val=""/>
    </w:lvl>
    <w:lvl w:ilvl="8">
      <w:lvlJc w:val="left"/>
      <w:numFmt w:val="bullet"/>
      <w:start w:val="1"/>
      <w:suff w:val="tab"/>
      <w:rPr>
        <w:shd w:val="clear" w:color="auto" w:fill="auto"/>
      </w:rPr>
      <w:lvlText w:val=""/>
    </w:lvl>
  </w:abstractNum>
  <w:abstractNum w:abstractNumId="17">
    <w:multiLevelType w:val="hybridMultilevel"/>
    <w:nsid w:val="2F000011"/>
    <w:tmpl w:val="1F001753"/>
    <w:lvl w:ilvl="0">
      <w:lvlJc w:val="left"/>
      <w:numFmt w:val="lowerRoman"/>
      <w:start w:val="1"/>
      <w:suff w:val="tab"/>
      <w:rPr>
        <w:shd w:val="clear" w:color="auto" w:fill="auto"/>
      </w:rPr>
      <w:lvlText w:val="%1."/>
    </w:lvl>
    <w:lvl w:ilvl="1">
      <w:lvlJc w:val="left"/>
      <w:numFmt w:val="bullet"/>
      <w:start w:val="1"/>
      <w:suff w:val="tab"/>
      <w:rPr>
        <w:shd w:val="clear" w:color="auto" w:fill="auto"/>
      </w:rPr>
      <w:lvlText w:val=""/>
    </w:lvl>
    <w:lvl w:ilvl="2">
      <w:lvlJc w:val="left"/>
      <w:numFmt w:val="bullet"/>
      <w:start w:val="1"/>
      <w:suff w:val="tab"/>
      <w:rPr>
        <w:shd w:val="clear" w:color="auto" w:fill="auto"/>
      </w:rPr>
      <w:lvlText w:val=""/>
    </w:lvl>
    <w:lvl w:ilvl="3">
      <w:lvlJc w:val="left"/>
      <w:numFmt w:val="bullet"/>
      <w:start w:val="1"/>
      <w:suff w:val="tab"/>
      <w:rPr>
        <w:shd w:val="clear" w:color="auto" w:fill="auto"/>
      </w:rPr>
      <w:lvlText w:val=""/>
    </w:lvl>
    <w:lvl w:ilvl="4">
      <w:lvlJc w:val="left"/>
      <w:numFmt w:val="bullet"/>
      <w:start w:val="1"/>
      <w:suff w:val="tab"/>
      <w:rPr>
        <w:shd w:val="clear" w:color="auto" w:fill="auto"/>
      </w:rPr>
      <w:lvlText w:val=""/>
    </w:lvl>
    <w:lvl w:ilvl="5">
      <w:lvlJc w:val="left"/>
      <w:numFmt w:val="bullet"/>
      <w:start w:val="1"/>
      <w:suff w:val="tab"/>
      <w:rPr>
        <w:shd w:val="clear" w:color="auto" w:fill="auto"/>
      </w:rPr>
      <w:lvlText w:val=""/>
    </w:lvl>
    <w:lvl w:ilvl="6">
      <w:lvlJc w:val="left"/>
      <w:numFmt w:val="bullet"/>
      <w:start w:val="1"/>
      <w:suff w:val="tab"/>
      <w:rPr>
        <w:shd w:val="clear" w:color="auto" w:fill="auto"/>
      </w:rPr>
      <w:lvlText w:val=""/>
    </w:lvl>
    <w:lvl w:ilvl="7">
      <w:lvlJc w:val="left"/>
      <w:numFmt w:val="bullet"/>
      <w:start w:val="1"/>
      <w:suff w:val="tab"/>
      <w:rPr>
        <w:shd w:val="clear" w:color="auto" w:fill="auto"/>
      </w:rPr>
      <w:lvlText w:val=""/>
    </w:lvl>
    <w:lvl w:ilvl="8">
      <w:lvlJc w:val="left"/>
      <w:numFmt w:val="bullet"/>
      <w:start w:val="1"/>
      <w:suff w:val="tab"/>
      <w:rPr>
        <w:shd w:val="clear" w:color="auto" w:fill="auto"/>
      </w:rPr>
      <w:lvlText w:val=""/>
    </w:lvl>
  </w:abstractNum>
  <w:abstractNum w:abstractNumId="18">
    <w:multiLevelType w:val="hybridMultilevel"/>
    <w:nsid w:val="2F000012"/>
    <w:tmpl w:val="1F00096D"/>
    <w:lvl w:ilvl="0">
      <w:lvlJc w:val="left"/>
      <w:numFmt w:val="lowerRoman"/>
      <w:start w:val="7"/>
      <w:suff w:val="tab"/>
      <w:rPr>
        <w:b w:val="0"/>
        <w:shd w:val="clear" w:color="auto" w:fill="auto"/>
      </w:rPr>
      <w:lvlText w:val="%1."/>
    </w:lvl>
    <w:lvl w:ilvl="1">
      <w:lvlJc w:val="left"/>
      <w:numFmt w:val="lowerRoman"/>
      <w:start w:val="1"/>
      <w:suff w:val="tab"/>
      <w:rPr>
        <w:shd w:val="clear" w:color="auto" w:fill="auto"/>
      </w:rPr>
      <w:lvlText w:val="%2"/>
    </w:lvl>
    <w:lvl w:ilvl="2">
      <w:lvlJc w:val="left"/>
      <w:numFmt w:val="bullet"/>
      <w:start w:val="1"/>
      <w:suff w:val="tab"/>
      <w:rPr>
        <w:shd w:val="clear" w:color="auto" w:fill="auto"/>
      </w:rPr>
      <w:lvlText w:val=""/>
    </w:lvl>
    <w:lvl w:ilvl="3">
      <w:lvlJc w:val="left"/>
      <w:numFmt w:val="bullet"/>
      <w:start w:val="1"/>
      <w:suff w:val="tab"/>
      <w:rPr>
        <w:shd w:val="clear" w:color="auto" w:fill="auto"/>
      </w:rPr>
      <w:lvlText w:val=""/>
    </w:lvl>
    <w:lvl w:ilvl="4">
      <w:lvlJc w:val="left"/>
      <w:numFmt w:val="bullet"/>
      <w:start w:val="1"/>
      <w:suff w:val="tab"/>
      <w:rPr>
        <w:shd w:val="clear" w:color="auto" w:fill="auto"/>
      </w:rPr>
      <w:lvlText w:val=""/>
    </w:lvl>
    <w:lvl w:ilvl="5">
      <w:lvlJc w:val="left"/>
      <w:numFmt w:val="bullet"/>
      <w:start w:val="1"/>
      <w:suff w:val="tab"/>
      <w:rPr>
        <w:shd w:val="clear" w:color="auto" w:fill="auto"/>
      </w:rPr>
      <w:lvlText w:val=""/>
    </w:lvl>
    <w:lvl w:ilvl="6">
      <w:lvlJc w:val="left"/>
      <w:numFmt w:val="bullet"/>
      <w:start w:val="1"/>
      <w:suff w:val="tab"/>
      <w:rPr>
        <w:shd w:val="clear" w:color="auto" w:fill="auto"/>
      </w:rPr>
      <w:lvlText w:val=""/>
    </w:lvl>
    <w:lvl w:ilvl="7">
      <w:lvlJc w:val="left"/>
      <w:numFmt w:val="bullet"/>
      <w:start w:val="1"/>
      <w:suff w:val="tab"/>
      <w:rPr>
        <w:shd w:val="clear" w:color="auto" w:fill="auto"/>
      </w:rPr>
      <w:lvlText w:val=""/>
    </w:lvl>
    <w:lvl w:ilvl="8">
      <w:lvlJc w:val="left"/>
      <w:numFmt w:val="bullet"/>
      <w:start w:val="1"/>
      <w:suff w:val="tab"/>
      <w:rPr>
        <w:shd w:val="clear" w:color="auto" w:fill="auto"/>
      </w:rPr>
      <w:lvlText w:val=""/>
    </w:lvl>
  </w:abstractNum>
  <w:abstractNum w:abstractNumId="19">
    <w:multiLevelType w:val="hybridMultilevel"/>
    <w:nsid w:val="2F000013"/>
    <w:tmpl w:val="1F000A9E"/>
    <w:lvl w:ilvl="0">
      <w:lvlJc w:val="left"/>
      <w:numFmt w:val="lowerRoman"/>
      <w:start w:val="1"/>
      <w:suff w:val="tab"/>
      <w:rPr>
        <w:shd w:val="clear" w:color="auto" w:fill="auto"/>
      </w:rPr>
      <w:lvlText w:val="%1."/>
    </w:lvl>
    <w:lvl w:ilvl="1">
      <w:lvlJc w:val="left"/>
      <w:numFmt w:val="lowerRoman"/>
      <w:start w:val="1"/>
      <w:suff w:val="tab"/>
      <w:rPr>
        <w:shd w:val="clear" w:color="auto" w:fill="auto"/>
      </w:rPr>
      <w:lvlText w:val="%2"/>
    </w:lvl>
    <w:lvl w:ilvl="2">
      <w:lvlJc w:val="left"/>
      <w:numFmt w:val="bullet"/>
      <w:start w:val="1"/>
      <w:suff w:val="tab"/>
      <w:rPr>
        <w:shd w:val="clear" w:color="auto" w:fill="auto"/>
      </w:rPr>
      <w:lvlText w:val=""/>
    </w:lvl>
    <w:lvl w:ilvl="3">
      <w:lvlJc w:val="left"/>
      <w:numFmt w:val="bullet"/>
      <w:start w:val="1"/>
      <w:suff w:val="tab"/>
      <w:rPr>
        <w:shd w:val="clear" w:color="auto" w:fill="auto"/>
      </w:rPr>
      <w:lvlText w:val=""/>
    </w:lvl>
    <w:lvl w:ilvl="4">
      <w:lvlJc w:val="left"/>
      <w:numFmt w:val="bullet"/>
      <w:start w:val="1"/>
      <w:suff w:val="tab"/>
      <w:rPr>
        <w:shd w:val="clear" w:color="auto" w:fill="auto"/>
      </w:rPr>
      <w:lvlText w:val=""/>
    </w:lvl>
    <w:lvl w:ilvl="5">
      <w:lvlJc w:val="left"/>
      <w:numFmt w:val="bullet"/>
      <w:start w:val="1"/>
      <w:suff w:val="tab"/>
      <w:rPr>
        <w:shd w:val="clear" w:color="auto" w:fill="auto"/>
      </w:rPr>
      <w:lvlText w:val=""/>
    </w:lvl>
    <w:lvl w:ilvl="6">
      <w:lvlJc w:val="left"/>
      <w:numFmt w:val="bullet"/>
      <w:start w:val="1"/>
      <w:suff w:val="tab"/>
      <w:rPr>
        <w:shd w:val="clear" w:color="auto" w:fill="auto"/>
      </w:rPr>
      <w:lvlText w:val=""/>
    </w:lvl>
    <w:lvl w:ilvl="7">
      <w:lvlJc w:val="left"/>
      <w:numFmt w:val="bullet"/>
      <w:start w:val="1"/>
      <w:suff w:val="tab"/>
      <w:rPr>
        <w:shd w:val="clear" w:color="auto" w:fill="auto"/>
      </w:rPr>
      <w:lvlText w:val=""/>
    </w:lvl>
    <w:lvl w:ilvl="8">
      <w:lvlJc w:val="left"/>
      <w:numFmt w:val="bullet"/>
      <w:start w:val="1"/>
      <w:suff w:val="tab"/>
      <w:rPr>
        <w:shd w:val="clear" w:color="auto" w:fill="auto"/>
      </w:rPr>
      <w:lvlText w:val=""/>
    </w:lvl>
  </w:abstractNum>
  <w:abstractNum w:abstractNumId="20">
    <w:multiLevelType w:val="hybridMultilevel"/>
    <w:nsid w:val="2F000014"/>
    <w:tmpl w:val="1F003F43"/>
    <w:lvl w:ilvl="0">
      <w:lvlJc w:val="left"/>
      <w:numFmt w:val="lowerRoman"/>
      <w:start w:val="1"/>
      <w:suff w:val="tab"/>
      <w:rPr>
        <w:shd w:val="clear" w:color="auto" w:fill="auto"/>
      </w:rPr>
      <w:lvlText w:val="%1."/>
    </w:lvl>
    <w:lvl w:ilvl="1">
      <w:lvlJc w:val="left"/>
      <w:numFmt w:val="bullet"/>
      <w:start w:val="1"/>
      <w:suff w:val="tab"/>
      <w:rPr>
        <w:shd w:val="clear" w:color="auto" w:fill="auto"/>
      </w:rPr>
      <w:lvlText w:val=""/>
    </w:lvl>
    <w:lvl w:ilvl="2">
      <w:lvlJc w:val="left"/>
      <w:numFmt w:val="bullet"/>
      <w:start w:val="1"/>
      <w:suff w:val="tab"/>
      <w:rPr>
        <w:shd w:val="clear" w:color="auto" w:fill="auto"/>
      </w:rPr>
      <w:lvlText w:val=""/>
    </w:lvl>
    <w:lvl w:ilvl="3">
      <w:lvlJc w:val="left"/>
      <w:numFmt w:val="bullet"/>
      <w:start w:val="1"/>
      <w:suff w:val="tab"/>
      <w:rPr>
        <w:shd w:val="clear" w:color="auto" w:fill="auto"/>
      </w:rPr>
      <w:lvlText w:val=""/>
    </w:lvl>
    <w:lvl w:ilvl="4">
      <w:lvlJc w:val="left"/>
      <w:numFmt w:val="bullet"/>
      <w:start w:val="1"/>
      <w:suff w:val="tab"/>
      <w:rPr>
        <w:shd w:val="clear" w:color="auto" w:fill="auto"/>
      </w:rPr>
      <w:lvlText w:val=""/>
    </w:lvl>
    <w:lvl w:ilvl="5">
      <w:lvlJc w:val="left"/>
      <w:numFmt w:val="bullet"/>
      <w:start w:val="1"/>
      <w:suff w:val="tab"/>
      <w:rPr>
        <w:shd w:val="clear" w:color="auto" w:fill="auto"/>
      </w:rPr>
      <w:lvlText w:val=""/>
    </w:lvl>
    <w:lvl w:ilvl="6">
      <w:lvlJc w:val="left"/>
      <w:numFmt w:val="bullet"/>
      <w:start w:val="1"/>
      <w:suff w:val="tab"/>
      <w:rPr>
        <w:shd w:val="clear" w:color="auto" w:fill="auto"/>
      </w:rPr>
      <w:lvlText w:val=""/>
    </w:lvl>
    <w:lvl w:ilvl="7">
      <w:lvlJc w:val="left"/>
      <w:numFmt w:val="bullet"/>
      <w:start w:val="1"/>
      <w:suff w:val="tab"/>
      <w:rPr>
        <w:shd w:val="clear" w:color="auto" w:fill="auto"/>
      </w:rPr>
      <w:lvlText w:val=""/>
    </w:lvl>
    <w:lvl w:ilvl="8">
      <w:lvlJc w:val="left"/>
      <w:numFmt w:val="bullet"/>
      <w:start w:val="1"/>
      <w:suff w:val="tab"/>
      <w:rPr>
        <w:shd w:val="clear" w:color="auto" w:fill="auto"/>
      </w:rPr>
      <w:lvlText w:val=""/>
    </w:lvl>
  </w:abstractNum>
  <w:abstractNum w:abstractNumId="21">
    <w:multiLevelType w:val="hybridMultilevel"/>
    <w:nsid w:val="2F000015"/>
    <w:tmpl w:val="1F001C86"/>
    <w:lvl w:ilvl="0">
      <w:lvlJc w:val="left"/>
      <w:numFmt w:val="lowerLetter"/>
      <w:start w:val="1"/>
      <w:suff w:val="tab"/>
      <w:pPr>
        <w:ind w:left="2481" w:hanging="360"/>
        <w:rPr/>
      </w:pPr>
      <w:rPr>
        <w:b w:val="1"/>
        <w:shd w:val="clear" w:color="auto" w:fill="auto"/>
        <w:rFonts w:ascii="Times New Roman" w:eastAsia="Times New Roman" w:hAnsi="Times New Roman" w:hint="default"/>
      </w:rPr>
      <w:lvlText w:val="%1)"/>
    </w:lvl>
    <w:lvl w:ilvl="1">
      <w:lvlJc w:val="left"/>
      <w:numFmt w:val="lowerLetter"/>
      <w:start w:val="1"/>
      <w:suff w:val="tab"/>
      <w:pPr>
        <w:ind w:left="3201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3921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4641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5361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6081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6801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7521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8241" w:hanging="180"/>
        <w:rPr/>
      </w:pPr>
      <w:rPr>
        <w:shd w:val="clear" w:color="auto" w:fill="auto"/>
      </w:rPr>
      <w:lvlText w:val="%9."/>
    </w:lvl>
  </w:abstractNum>
  <w:abstractNum w:abstractNumId="22">
    <w:multiLevelType w:val="hybridMultilevel"/>
    <w:nsid w:val="2F000016"/>
    <w:tmpl w:val="1F00079F"/>
    <w:lvl w:ilvl="0">
      <w:lvlJc w:val="left"/>
      <w:numFmt w:val="bullet"/>
      <w:start w:val="1"/>
      <w:suff w:val="tab"/>
      <w:pPr>
        <w:ind w:left="1285" w:hanging="360"/>
        <w:rPr/>
      </w:pPr>
      <w:rPr>
        <w:shd w:val="clear" w:color="auto" w:fill="auto"/>
        <w:rFonts w:ascii="Symbol" w:hAnsi="Symbol" w:hint="default"/>
      </w:rPr>
      <w:lvlText w:val="·"/>
    </w:lvl>
    <w:lvl w:ilvl="1">
      <w:lvlJc w:val="left"/>
      <w:numFmt w:val="decimal"/>
      <w:start w:val="1"/>
      <w:suff w:val="tab"/>
      <w:pPr>
        <w:ind w:left="1440" w:hanging="360"/>
        <w:tabs>
          <w:tab w:val="left" w:pos="1440"/>
        </w:tabs>
        <w:rPr/>
      </w:pPr>
      <w:rPr>
        <w:shd w:val="clear" w:color="auto" w:fill="auto"/>
      </w:rPr>
      <w:lvlText w:val="%2."/>
    </w:lvl>
    <w:lvl w:ilvl="2">
      <w:lvlJc w:val="left"/>
      <w:numFmt w:val="decimal"/>
      <w:start w:val="1"/>
      <w:suff w:val="tab"/>
      <w:pPr>
        <w:ind w:left="2160" w:hanging="360"/>
        <w:tabs>
          <w:tab w:val="left" w:pos="2160"/>
        </w:tabs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tabs>
          <w:tab w:val="left" w:pos="2880"/>
        </w:tabs>
        <w:rPr/>
      </w:pPr>
      <w:rPr>
        <w:shd w:val="clear" w:color="auto" w:fill="auto"/>
      </w:rPr>
      <w:lvlText w:val="%4."/>
    </w:lvl>
    <w:lvl w:ilvl="4">
      <w:lvlJc w:val="left"/>
      <w:numFmt w:val="decimal"/>
      <w:start w:val="1"/>
      <w:suff w:val="tab"/>
      <w:pPr>
        <w:ind w:left="3600" w:hanging="360"/>
        <w:tabs>
          <w:tab w:val="left" w:pos="3600"/>
        </w:tabs>
        <w:rPr/>
      </w:pPr>
      <w:rPr>
        <w:shd w:val="clear" w:color="auto" w:fill="auto"/>
      </w:rPr>
      <w:lvlText w:val="%5."/>
    </w:lvl>
    <w:lvl w:ilvl="5">
      <w:lvlJc w:val="left"/>
      <w:numFmt w:val="decimal"/>
      <w:start w:val="1"/>
      <w:suff w:val="tab"/>
      <w:pPr>
        <w:ind w:left="4320" w:hanging="360"/>
        <w:tabs>
          <w:tab w:val="left" w:pos="4320"/>
        </w:tabs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tabs>
          <w:tab w:val="left" w:pos="5040"/>
        </w:tabs>
        <w:rPr/>
      </w:pPr>
      <w:rPr>
        <w:shd w:val="clear" w:color="auto" w:fill="auto"/>
      </w:rPr>
      <w:lvlText w:val="%7."/>
    </w:lvl>
    <w:lvl w:ilvl="7">
      <w:lvlJc w:val="left"/>
      <w:numFmt w:val="decimal"/>
      <w:start w:val="1"/>
      <w:suff w:val="tab"/>
      <w:pPr>
        <w:ind w:left="5760" w:hanging="360"/>
        <w:tabs>
          <w:tab w:val="left" w:pos="5760"/>
        </w:tabs>
        <w:rPr/>
      </w:pPr>
      <w:rPr>
        <w:shd w:val="clear" w:color="auto" w:fill="auto"/>
      </w:rPr>
      <w:lvlText w:val="%8."/>
    </w:lvl>
    <w:lvl w:ilvl="8">
      <w:lvlJc w:val="left"/>
      <w:numFmt w:val="decimal"/>
      <w:start w:val="1"/>
      <w:suff w:val="tab"/>
      <w:pPr>
        <w:ind w:left="6480" w:hanging="360"/>
        <w:tabs>
          <w:tab w:val="left" w:pos="6480"/>
        </w:tabs>
        <w:rPr/>
      </w:pPr>
      <w:rPr>
        <w:shd w:val="clear" w:color="auto" w:fill="auto"/>
      </w:rPr>
      <w:lvlText w:val="%9."/>
    </w:lvl>
  </w:abstractNum>
  <w:abstractNum w:abstractNumId="23">
    <w:multiLevelType w:val="hybridMultilevel"/>
    <w:nsid w:val="2F000017"/>
    <w:tmpl w:val="1F00004C"/>
    <w:lvl w:ilvl="0">
      <w:lvlJc w:val="left"/>
      <w:numFmt w:val="decimal"/>
      <w:start w:val="1"/>
      <w:suff w:val="tab"/>
      <w:pPr>
        <w:ind w:left="720" w:hanging="360"/>
        <w:rPr/>
      </w:pPr>
      <w:rPr>
        <w:b w:val="1"/>
        <w:sz w:val="24"/>
        <w:szCs w:val="24"/>
        <w:shd w:val="clear" w:color="auto" w:fill="auto"/>
        <w:rFonts w:ascii="Times New Roman" w:hAnsi="Times New Roman" w:cs="Times New Roman" w:hint="default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 w:color="auto" w:fill="auto"/>
      </w:rPr>
      <w:lvlText w:val="%9."/>
    </w:lvl>
  </w:abstractNum>
  <w:abstractNum w:abstractNumId="24">
    <w:multiLevelType w:val="hybridMultilevel"/>
    <w:nsid w:val="2F000018"/>
    <w:tmpl w:val="1F000092"/>
    <w:lvl w:ilvl="0">
      <w:lvlJc w:val="left"/>
      <w:numFmt w:val="bullet"/>
      <w:start w:val="1"/>
      <w:suff w:val="tab"/>
      <w:pPr>
        <w:ind w:left="720" w:hanging="360"/>
        <w:rPr/>
      </w:pPr>
      <w:rPr>
        <w:shd w:val="clear" w:color="auto" w:fill="auto"/>
        <w:rFonts w:ascii="Symbol" w:hAnsi="Symbol" w:hint="default"/>
      </w:rPr>
      <w:lvlText w:val="·"/>
    </w:lvl>
    <w:lvl w:ilvl="1">
      <w:lvlJc w:val="left"/>
      <w:numFmt w:val="bullet"/>
      <w:start w:val="1"/>
      <w:suff w:val="tab"/>
      <w:pPr>
        <w:ind w:left="144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2">
      <w:lvlJc w:val="left"/>
      <w:numFmt w:val="bullet"/>
      <w:start w:val="1"/>
      <w:suff w:val="tab"/>
      <w:pPr>
        <w:ind w:left="2160" w:hanging="360"/>
        <w:rPr/>
      </w:pPr>
      <w:rPr>
        <w:shd w:val="clear" w:color="auto" w:fill="auto"/>
        <w:rFonts w:ascii="Wingdings" w:hAnsi="Wingdings" w:hint="default"/>
      </w:rPr>
      <w:lvlText w:val="§"/>
    </w:lvl>
    <w:lvl w:ilvl="3">
      <w:lvlJc w:val="left"/>
      <w:numFmt w:val="bullet"/>
      <w:start w:val="1"/>
      <w:suff w:val="tab"/>
      <w:pPr>
        <w:ind w:left="2880" w:hanging="360"/>
        <w:rPr/>
      </w:pPr>
      <w:rPr>
        <w:shd w:val="clear" w:color="auto" w:fill="auto"/>
        <w:rFonts w:ascii="Symbol" w:hAnsi="Symbol" w:hint="default"/>
      </w:rPr>
      <w:lvlText w:val="·"/>
    </w:lvl>
    <w:lvl w:ilvl="4">
      <w:lvlJc w:val="left"/>
      <w:numFmt w:val="bullet"/>
      <w:start w:val="1"/>
      <w:suff w:val="tab"/>
      <w:pPr>
        <w:ind w:left="360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5">
      <w:lvlJc w:val="left"/>
      <w:numFmt w:val="bullet"/>
      <w:start w:val="1"/>
      <w:suff w:val="tab"/>
      <w:pPr>
        <w:ind w:left="4320" w:hanging="360"/>
        <w:rPr/>
      </w:pPr>
      <w:rPr>
        <w:shd w:val="clear" w:color="auto" w:fill="auto"/>
        <w:rFonts w:ascii="Wingdings" w:hAnsi="Wingdings" w:hint="default"/>
      </w:rPr>
      <w:lvlText w:val="§"/>
    </w:lvl>
    <w:lvl w:ilvl="6">
      <w:lvlJc w:val="left"/>
      <w:numFmt w:val="bullet"/>
      <w:start w:val="1"/>
      <w:suff w:val="tab"/>
      <w:pPr>
        <w:ind w:left="5040" w:hanging="360"/>
        <w:rPr/>
      </w:pPr>
      <w:rPr>
        <w:shd w:val="clear" w:color="auto" w:fill="auto"/>
        <w:rFonts w:ascii="Symbol" w:hAnsi="Symbol" w:hint="default"/>
      </w:rPr>
      <w:lvlText w:val="·"/>
    </w:lvl>
    <w:lvl w:ilvl="7">
      <w:lvlJc w:val="left"/>
      <w:numFmt w:val="bullet"/>
      <w:start w:val="1"/>
      <w:suff w:val="tab"/>
      <w:pPr>
        <w:ind w:left="576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8">
      <w:lvlJc w:val="left"/>
      <w:numFmt w:val="bullet"/>
      <w:start w:val="1"/>
      <w:suff w:val="tab"/>
      <w:pPr>
        <w:ind w:left="6480" w:hanging="360"/>
        <w:rPr/>
      </w:pPr>
      <w:rPr>
        <w:shd w:val="clear" w:color="auto" w:fill="auto"/>
        <w:rFonts w:ascii="Wingdings" w:hAnsi="Wingdings" w:hint="default"/>
      </w:rPr>
      <w:lvlText w:val="§"/>
    </w:lvl>
  </w:abstractNum>
  <w:abstractNum w:abstractNumId="25">
    <w:multiLevelType w:val="hybridMultilevel"/>
    <w:nsid w:val="2F000019"/>
    <w:tmpl w:val="1F00182F"/>
    <w:lvl w:ilvl="0">
      <w:lvlJc w:val="left"/>
      <w:numFmt w:val="lowerLetter"/>
      <w:start w:val="1"/>
      <w:suff w:val="tab"/>
      <w:pPr>
        <w:ind w:left="1074" w:hanging="360"/>
        <w:rPr/>
      </w:pPr>
      <w:rPr>
        <w:shd w:val="clear" w:color="auto" w:fill="auto"/>
        <w:rFonts w:hint="default"/>
      </w:rPr>
      <w:lvlText w:val="%1)"/>
    </w:lvl>
    <w:lvl w:ilvl="1">
      <w:lvlJc w:val="left"/>
      <w:numFmt w:val="lowerLetter"/>
      <w:start w:val="1"/>
      <w:suff w:val="tab"/>
      <w:pPr>
        <w:ind w:left="1794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514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3234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954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674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394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6114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834" w:hanging="180"/>
        <w:rPr/>
      </w:pPr>
      <w:rPr>
        <w:shd w:val="clear" w:color="auto" w:fill="auto"/>
      </w:rPr>
      <w:lvlText w:val="%9."/>
    </w:lvl>
  </w:abstractNum>
  <w:abstractNum w:abstractNumId="26">
    <w:multiLevelType w:val="hybridMultilevel"/>
    <w:nsid w:val="2F00001A"/>
    <w:tmpl w:val="1F002206"/>
    <w:lvl w:ilvl="0">
      <w:lvlJc w:val="left"/>
      <w:numFmt w:val="bullet"/>
      <w:start w:val="1"/>
      <w:suff w:val="tab"/>
      <w:pPr>
        <w:ind w:left="2205" w:hanging="360"/>
        <w:rPr/>
      </w:pPr>
      <w:rPr>
        <w:shd w:val="clear" w:color="auto" w:fill="auto"/>
        <w:rFonts w:ascii="Symbol" w:hAnsi="Symbol" w:hint="default"/>
      </w:rPr>
      <w:lvlText w:val="·"/>
    </w:lvl>
    <w:lvl w:ilvl="1">
      <w:lvlJc w:val="left"/>
      <w:numFmt w:val="bullet"/>
      <w:start w:val="1"/>
      <w:suff w:val="tab"/>
      <w:pPr>
        <w:ind w:left="2925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2">
      <w:lvlJc w:val="left"/>
      <w:numFmt w:val="bullet"/>
      <w:start w:val="1"/>
      <w:suff w:val="tab"/>
      <w:pPr>
        <w:ind w:left="3645" w:hanging="360"/>
        <w:rPr/>
      </w:pPr>
      <w:rPr>
        <w:shd w:val="clear" w:color="auto" w:fill="auto"/>
        <w:rFonts w:ascii="Wingdings" w:hAnsi="Wingdings" w:hint="default"/>
      </w:rPr>
      <w:lvlText w:val="§"/>
    </w:lvl>
    <w:lvl w:ilvl="3">
      <w:lvlJc w:val="left"/>
      <w:numFmt w:val="bullet"/>
      <w:start w:val="1"/>
      <w:suff w:val="tab"/>
      <w:pPr>
        <w:ind w:left="4365" w:hanging="360"/>
        <w:rPr/>
      </w:pPr>
      <w:rPr>
        <w:shd w:val="clear" w:color="auto" w:fill="auto"/>
        <w:rFonts w:ascii="Symbol" w:hAnsi="Symbol" w:hint="default"/>
      </w:rPr>
      <w:lvlText w:val="·"/>
    </w:lvl>
    <w:lvl w:ilvl="4">
      <w:lvlJc w:val="left"/>
      <w:numFmt w:val="bullet"/>
      <w:start w:val="1"/>
      <w:suff w:val="tab"/>
      <w:pPr>
        <w:ind w:left="5085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5">
      <w:lvlJc w:val="left"/>
      <w:numFmt w:val="bullet"/>
      <w:start w:val="1"/>
      <w:suff w:val="tab"/>
      <w:pPr>
        <w:ind w:left="5805" w:hanging="360"/>
        <w:rPr/>
      </w:pPr>
      <w:rPr>
        <w:shd w:val="clear" w:color="auto" w:fill="auto"/>
        <w:rFonts w:ascii="Wingdings" w:hAnsi="Wingdings" w:hint="default"/>
      </w:rPr>
      <w:lvlText w:val="§"/>
    </w:lvl>
    <w:lvl w:ilvl="6">
      <w:lvlJc w:val="left"/>
      <w:numFmt w:val="bullet"/>
      <w:start w:val="1"/>
      <w:suff w:val="tab"/>
      <w:pPr>
        <w:ind w:left="6525" w:hanging="360"/>
        <w:rPr/>
      </w:pPr>
      <w:rPr>
        <w:shd w:val="clear" w:color="auto" w:fill="auto"/>
        <w:rFonts w:ascii="Symbol" w:hAnsi="Symbol" w:hint="default"/>
      </w:rPr>
      <w:lvlText w:val="·"/>
    </w:lvl>
    <w:lvl w:ilvl="7">
      <w:lvlJc w:val="left"/>
      <w:numFmt w:val="bullet"/>
      <w:start w:val="1"/>
      <w:suff w:val="tab"/>
      <w:pPr>
        <w:ind w:left="7245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8">
      <w:lvlJc w:val="left"/>
      <w:numFmt w:val="bullet"/>
      <w:start w:val="1"/>
      <w:suff w:val="tab"/>
      <w:pPr>
        <w:ind w:left="7965" w:hanging="360"/>
        <w:rPr/>
      </w:pPr>
      <w:rPr>
        <w:shd w:val="clear" w:color="auto" w:fill="auto"/>
        <w:rFonts w:ascii="Wingdings" w:hAnsi="Wingdings" w:hint="default"/>
      </w:rPr>
      <w:lvlText w:val="§"/>
    </w:lvl>
  </w:abstractNum>
  <w:abstractNum w:abstractNumId="27">
    <w:multiLevelType w:val="hybridMultilevel"/>
    <w:nsid w:val="2F00001B"/>
    <w:tmpl w:val="1F00248E"/>
    <w:lvl w:ilvl="0">
      <w:lvlJc w:val="left"/>
      <w:numFmt w:val="bullet"/>
      <w:start w:val="1"/>
      <w:suff w:val="tab"/>
      <w:pPr>
        <w:ind w:left="720" w:hanging="360"/>
        <w:rPr/>
      </w:pPr>
      <w:rPr>
        <w:shd w:val="clear" w:color="auto" w:fill="auto"/>
        <w:rFonts w:ascii="Symbol" w:hAnsi="Symbol" w:hint="default"/>
      </w:rPr>
      <w:lvlText w:val="·"/>
    </w:lvl>
    <w:lvl w:ilvl="1">
      <w:lvlJc w:val="left"/>
      <w:numFmt w:val="bullet"/>
      <w:start w:val="1"/>
      <w:suff w:val="tab"/>
      <w:pPr>
        <w:ind w:left="144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2">
      <w:lvlJc w:val="left"/>
      <w:numFmt w:val="bullet"/>
      <w:start w:val="1"/>
      <w:suff w:val="tab"/>
      <w:pPr>
        <w:ind w:left="2160" w:hanging="360"/>
        <w:rPr/>
      </w:pPr>
      <w:rPr>
        <w:shd w:val="clear" w:color="auto" w:fill="auto"/>
        <w:rFonts w:ascii="Wingdings" w:hAnsi="Wingdings" w:hint="default"/>
      </w:rPr>
      <w:lvlText w:val="§"/>
    </w:lvl>
    <w:lvl w:ilvl="3">
      <w:lvlJc w:val="left"/>
      <w:numFmt w:val="bullet"/>
      <w:start w:val="1"/>
      <w:suff w:val="tab"/>
      <w:pPr>
        <w:ind w:left="2880" w:hanging="360"/>
        <w:rPr/>
      </w:pPr>
      <w:rPr>
        <w:shd w:val="clear" w:color="auto" w:fill="auto"/>
        <w:rFonts w:ascii="Symbol" w:hAnsi="Symbol" w:hint="default"/>
      </w:rPr>
      <w:lvlText w:val="·"/>
    </w:lvl>
    <w:lvl w:ilvl="4">
      <w:lvlJc w:val="left"/>
      <w:numFmt w:val="bullet"/>
      <w:start w:val="1"/>
      <w:suff w:val="tab"/>
      <w:pPr>
        <w:ind w:left="360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5">
      <w:lvlJc w:val="left"/>
      <w:numFmt w:val="bullet"/>
      <w:start w:val="1"/>
      <w:suff w:val="tab"/>
      <w:pPr>
        <w:ind w:left="4320" w:hanging="360"/>
        <w:rPr/>
      </w:pPr>
      <w:rPr>
        <w:shd w:val="clear" w:color="auto" w:fill="auto"/>
        <w:rFonts w:ascii="Wingdings" w:hAnsi="Wingdings" w:hint="default"/>
      </w:rPr>
      <w:lvlText w:val="§"/>
    </w:lvl>
    <w:lvl w:ilvl="6">
      <w:lvlJc w:val="left"/>
      <w:numFmt w:val="bullet"/>
      <w:start w:val="1"/>
      <w:suff w:val="tab"/>
      <w:pPr>
        <w:ind w:left="5040" w:hanging="360"/>
        <w:rPr/>
      </w:pPr>
      <w:rPr>
        <w:shd w:val="clear" w:color="auto" w:fill="auto"/>
        <w:rFonts w:ascii="Symbol" w:hAnsi="Symbol" w:hint="default"/>
      </w:rPr>
      <w:lvlText w:val="·"/>
    </w:lvl>
    <w:lvl w:ilvl="7">
      <w:lvlJc w:val="left"/>
      <w:numFmt w:val="bullet"/>
      <w:start w:val="1"/>
      <w:suff w:val="tab"/>
      <w:pPr>
        <w:ind w:left="576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8">
      <w:lvlJc w:val="left"/>
      <w:numFmt w:val="bullet"/>
      <w:start w:val="1"/>
      <w:suff w:val="tab"/>
      <w:pPr>
        <w:ind w:left="6480" w:hanging="360"/>
        <w:rPr/>
      </w:pPr>
      <w:rPr>
        <w:shd w:val="clear" w:color="auto" w:fill="auto"/>
        <w:rFonts w:ascii="Wingdings" w:hAnsi="Wingdings" w:hint="default"/>
      </w:rPr>
      <w:lvlText w:val="§"/>
    </w:lvl>
  </w:abstractNum>
  <w:abstractNum w:abstractNumId="28">
    <w:multiLevelType w:val="hybridMultilevel"/>
    <w:nsid w:val="2F00001C"/>
    <w:tmpl w:val="1F002683"/>
    <w:lvl w:ilvl="0">
      <w:lvlJc w:val="left"/>
      <w:numFmt w:val="lowerLetter"/>
      <w:start w:val="1"/>
      <w:suff w:val="tab"/>
      <w:pPr>
        <w:ind w:left="2481" w:hanging="360"/>
        <w:rPr/>
      </w:pPr>
      <w:rPr>
        <w:shd w:val="clear" w:color="auto" w:fill="auto"/>
        <w:rFonts w:ascii="Times New Roman" w:eastAsia="Times New Roman" w:hAnsi="Times New Roman" w:hint="default"/>
      </w:rPr>
      <w:lvlText w:val="%1)"/>
    </w:lvl>
    <w:lvl w:ilvl="1">
      <w:lvlJc w:val="left"/>
      <w:numFmt w:val="lowerLetter"/>
      <w:start w:val="1"/>
      <w:suff w:val="tab"/>
      <w:pPr>
        <w:ind w:left="3201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3921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4641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5361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6081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6801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7521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8241" w:hanging="180"/>
        <w:rPr/>
      </w:pPr>
      <w:rPr>
        <w:shd w:val="clear" w:color="auto" w:fill="auto"/>
      </w:rPr>
      <w:lvlText w:val="%9."/>
    </w:lvl>
  </w:abstractNum>
  <w:abstractNum w:abstractNumId="29">
    <w:multiLevelType w:val="hybridMultilevel"/>
    <w:nsid w:val="2F00001D"/>
    <w:tmpl w:val="1F0026DB"/>
    <w:lvl w:ilvl="0">
      <w:lvlJc w:val="left"/>
      <w:numFmt w:val="lowerRoman"/>
      <w:start w:val="1"/>
      <w:suff w:val="tab"/>
      <w:pPr>
        <w:ind w:left="2925" w:hanging="720"/>
        <w:rPr/>
      </w:pPr>
      <w:rPr>
        <w:color w:val="auto"/>
        <w:shd w:val="clear" w:color="auto" w:fill="auto"/>
        <w:rFonts w:hint="default"/>
      </w:rPr>
      <w:lvlText w:val="(%1)"/>
    </w:lvl>
    <w:lvl w:ilvl="1">
      <w:lvlJc w:val="left"/>
      <w:numFmt w:val="lowerLetter"/>
      <w:start w:val="1"/>
      <w:suff w:val="tab"/>
      <w:pPr>
        <w:ind w:left="3285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4005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4725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5445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6165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6885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7605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8325" w:hanging="180"/>
        <w:rPr/>
      </w:pPr>
      <w:rPr>
        <w:shd w:val="clear" w:color="auto" w:fill="auto"/>
      </w:rPr>
      <w:lvlText w:val="%9."/>
    </w:lvl>
  </w:abstractNum>
  <w:abstractNum w:abstractNumId="30">
    <w:multiLevelType w:val="hybridMultilevel"/>
    <w:nsid w:val="2F00001E"/>
    <w:tmpl w:val="1F000AA3"/>
    <w:lvl w:ilvl="0">
      <w:lvlJc w:val="left"/>
      <w:numFmt w:val="lowerLetter"/>
      <w:start w:val="1"/>
      <w:suff w:val="tab"/>
      <w:pPr>
        <w:ind w:left="720" w:hanging="360"/>
        <w:rPr/>
      </w:pPr>
      <w:rPr>
        <w:shd w:val="clear" w:color="auto" w:fill="auto"/>
        <w:rFonts w:hint="default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 w:color="auto" w:fill="auto"/>
      </w:rPr>
      <w:lvlText w:val="%9."/>
    </w:lvl>
  </w:abstractNum>
  <w:abstractNum w:abstractNumId="31">
    <w:multiLevelType w:val="hybridMultilevel"/>
    <w:nsid w:val="2F00001F"/>
    <w:tmpl w:val="1F002A6F"/>
    <w:lvl w:ilvl="0">
      <w:lvlJc w:val="left"/>
      <w:numFmt w:val="decimal"/>
      <w:start w:val="15"/>
      <w:suff w:val="tab"/>
      <w:pPr>
        <w:ind w:left="720" w:hanging="360"/>
        <w:rPr/>
      </w:pPr>
      <w:rPr>
        <w:shd w:val="clear" w:color="auto" w:fill="auto"/>
        <w:rFonts w:hint="default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 w:color="auto" w:fill="auto"/>
      </w:rPr>
      <w:lvlText w:val="%9."/>
    </w:lvl>
  </w:abstractNum>
  <w:abstractNum w:abstractNumId="32">
    <w:multiLevelType w:val="hybridMultilevel"/>
    <w:nsid w:val="2F000020"/>
    <w:tmpl w:val="1F001CD9"/>
    <w:lvl w:ilvl="0">
      <w:lvlJc w:val="left"/>
      <w:numFmt w:val="bullet"/>
      <w:start w:val="1"/>
      <w:suff w:val="tab"/>
      <w:pPr>
        <w:ind w:left="1196" w:hanging="360"/>
        <w:rPr/>
      </w:pPr>
      <w:rPr>
        <w:shd w:val="clear" w:color="auto" w:fill="auto"/>
        <w:rFonts w:ascii="Symbol" w:hAnsi="Symbol" w:hint="default"/>
      </w:rPr>
      <w:lvlText w:val="·"/>
    </w:lvl>
    <w:lvl w:ilvl="1">
      <w:lvlJc w:val="left"/>
      <w:numFmt w:val="decimal"/>
      <w:start w:val="1"/>
      <w:suff w:val="tab"/>
      <w:pPr>
        <w:ind w:left="1440" w:hanging="360"/>
        <w:tabs>
          <w:tab w:val="left" w:pos="1440"/>
        </w:tabs>
        <w:rPr/>
      </w:pPr>
      <w:rPr>
        <w:shd w:val="clear" w:color="auto" w:fill="auto"/>
      </w:rPr>
      <w:lvlText w:val="%2."/>
    </w:lvl>
    <w:lvl w:ilvl="2">
      <w:lvlJc w:val="left"/>
      <w:numFmt w:val="decimal"/>
      <w:start w:val="1"/>
      <w:suff w:val="tab"/>
      <w:pPr>
        <w:ind w:left="2160" w:hanging="360"/>
        <w:tabs>
          <w:tab w:val="left" w:pos="2160"/>
        </w:tabs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tabs>
          <w:tab w:val="left" w:pos="2880"/>
        </w:tabs>
        <w:rPr/>
      </w:pPr>
      <w:rPr>
        <w:shd w:val="clear" w:color="auto" w:fill="auto"/>
      </w:rPr>
      <w:lvlText w:val="%4."/>
    </w:lvl>
    <w:lvl w:ilvl="4">
      <w:lvlJc w:val="left"/>
      <w:numFmt w:val="decimal"/>
      <w:start w:val="1"/>
      <w:suff w:val="tab"/>
      <w:pPr>
        <w:ind w:left="3600" w:hanging="360"/>
        <w:tabs>
          <w:tab w:val="left" w:pos="3600"/>
        </w:tabs>
        <w:rPr/>
      </w:pPr>
      <w:rPr>
        <w:shd w:val="clear" w:color="auto" w:fill="auto"/>
      </w:rPr>
      <w:lvlText w:val="%5."/>
    </w:lvl>
    <w:lvl w:ilvl="5">
      <w:lvlJc w:val="left"/>
      <w:numFmt w:val="decimal"/>
      <w:start w:val="1"/>
      <w:suff w:val="tab"/>
      <w:pPr>
        <w:ind w:left="4320" w:hanging="360"/>
        <w:tabs>
          <w:tab w:val="left" w:pos="4320"/>
        </w:tabs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tabs>
          <w:tab w:val="left" w:pos="5040"/>
        </w:tabs>
        <w:rPr/>
      </w:pPr>
      <w:rPr>
        <w:shd w:val="clear" w:color="auto" w:fill="auto"/>
      </w:rPr>
      <w:lvlText w:val="%7."/>
    </w:lvl>
    <w:lvl w:ilvl="7">
      <w:lvlJc w:val="left"/>
      <w:numFmt w:val="decimal"/>
      <w:start w:val="1"/>
      <w:suff w:val="tab"/>
      <w:pPr>
        <w:ind w:left="5760" w:hanging="360"/>
        <w:tabs>
          <w:tab w:val="left" w:pos="5760"/>
        </w:tabs>
        <w:rPr/>
      </w:pPr>
      <w:rPr>
        <w:shd w:val="clear" w:color="auto" w:fill="auto"/>
      </w:rPr>
      <w:lvlText w:val="%8."/>
    </w:lvl>
    <w:lvl w:ilvl="8">
      <w:lvlJc w:val="left"/>
      <w:numFmt w:val="decimal"/>
      <w:start w:val="1"/>
      <w:suff w:val="tab"/>
      <w:pPr>
        <w:ind w:left="6480" w:hanging="360"/>
        <w:tabs>
          <w:tab w:val="left" w:pos="6480"/>
        </w:tabs>
        <w:rPr/>
      </w:pPr>
      <w:rPr>
        <w:shd w:val="clear" w:color="auto" w:fill="auto"/>
      </w:rPr>
      <w:lvlText w:val="%9."/>
    </w:lvl>
  </w:abstractNum>
  <w:abstractNum w:abstractNumId="33">
    <w:multiLevelType w:val="hybridMultilevel"/>
    <w:nsid w:val="2F000021"/>
    <w:tmpl w:val="1F001689"/>
    <w:lvl w:ilvl="0">
      <w:lvlJc w:val="left"/>
      <w:numFmt w:val="bullet"/>
      <w:start w:val="1"/>
      <w:suff w:val="tab"/>
      <w:pPr>
        <w:ind w:left="720" w:hanging="360"/>
        <w:rPr/>
      </w:pPr>
      <w:rPr>
        <w:shd w:val="clear" w:color="auto" w:fill="auto"/>
        <w:rFonts w:ascii="Symbol" w:hAnsi="Symbol" w:hint="default"/>
      </w:rPr>
      <w:lvlText w:val="·"/>
    </w:lvl>
    <w:lvl w:ilvl="1">
      <w:lvlJc w:val="left"/>
      <w:numFmt w:val="bullet"/>
      <w:start w:val="1"/>
      <w:suff w:val="tab"/>
      <w:pPr>
        <w:ind w:left="144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2">
      <w:lvlJc w:val="left"/>
      <w:numFmt w:val="bullet"/>
      <w:start w:val="1"/>
      <w:suff w:val="tab"/>
      <w:pPr>
        <w:ind w:left="2160" w:hanging="360"/>
        <w:rPr/>
      </w:pPr>
      <w:rPr>
        <w:shd w:val="clear" w:color="auto" w:fill="auto"/>
        <w:rFonts w:ascii="Wingdings" w:hAnsi="Wingdings" w:hint="default"/>
      </w:rPr>
      <w:lvlText w:val="§"/>
    </w:lvl>
    <w:lvl w:ilvl="3">
      <w:lvlJc w:val="left"/>
      <w:numFmt w:val="bullet"/>
      <w:start w:val="1"/>
      <w:suff w:val="tab"/>
      <w:pPr>
        <w:ind w:left="2880" w:hanging="360"/>
        <w:rPr/>
      </w:pPr>
      <w:rPr>
        <w:shd w:val="clear" w:color="auto" w:fill="auto"/>
        <w:rFonts w:ascii="Symbol" w:hAnsi="Symbol" w:hint="default"/>
      </w:rPr>
      <w:lvlText w:val="·"/>
    </w:lvl>
    <w:lvl w:ilvl="4">
      <w:lvlJc w:val="left"/>
      <w:numFmt w:val="bullet"/>
      <w:start w:val="1"/>
      <w:suff w:val="tab"/>
      <w:pPr>
        <w:ind w:left="360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5">
      <w:lvlJc w:val="left"/>
      <w:numFmt w:val="bullet"/>
      <w:start w:val="1"/>
      <w:suff w:val="tab"/>
      <w:pPr>
        <w:ind w:left="4320" w:hanging="360"/>
        <w:rPr/>
      </w:pPr>
      <w:rPr>
        <w:shd w:val="clear" w:color="auto" w:fill="auto"/>
        <w:rFonts w:ascii="Wingdings" w:hAnsi="Wingdings" w:hint="default"/>
      </w:rPr>
      <w:lvlText w:val="§"/>
    </w:lvl>
    <w:lvl w:ilvl="6">
      <w:lvlJc w:val="left"/>
      <w:numFmt w:val="bullet"/>
      <w:start w:val="1"/>
      <w:suff w:val="tab"/>
      <w:pPr>
        <w:ind w:left="5040" w:hanging="360"/>
        <w:rPr/>
      </w:pPr>
      <w:rPr>
        <w:shd w:val="clear" w:color="auto" w:fill="auto"/>
        <w:rFonts w:ascii="Symbol" w:hAnsi="Symbol" w:hint="default"/>
      </w:rPr>
      <w:lvlText w:val="·"/>
    </w:lvl>
    <w:lvl w:ilvl="7">
      <w:lvlJc w:val="left"/>
      <w:numFmt w:val="bullet"/>
      <w:start w:val="1"/>
      <w:suff w:val="tab"/>
      <w:pPr>
        <w:ind w:left="576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8">
      <w:lvlJc w:val="left"/>
      <w:numFmt w:val="bullet"/>
      <w:start w:val="1"/>
      <w:suff w:val="tab"/>
      <w:pPr>
        <w:ind w:left="6480" w:hanging="360"/>
        <w:rPr/>
      </w:pPr>
      <w:rPr>
        <w:shd w:val="clear" w:color="auto" w:fill="auto"/>
        <w:rFonts w:ascii="Wingdings" w:hAnsi="Wingdings" w:hint="default"/>
      </w:rPr>
      <w:lvlText w:val="§"/>
    </w:lvl>
  </w:abstractNum>
  <w:abstractNum w:abstractNumId="34">
    <w:multiLevelType w:val="hybridMultilevel"/>
    <w:nsid w:val="2F000022"/>
    <w:tmpl w:val="1F0003A6"/>
    <w:lvl w:ilvl="0">
      <w:lvlJc w:val="left"/>
      <w:numFmt w:val="decimal"/>
      <w:start w:val="1"/>
      <w:suff w:val="tab"/>
      <w:pPr>
        <w:ind w:left="720" w:hanging="360"/>
        <w:rPr/>
      </w:pPr>
      <w:rPr>
        <w:shd w:val="clear" w:color="auto" w:fill="auto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 w:color="auto" w:fill="auto"/>
      </w:rPr>
      <w:lvlText w:val="%9."/>
    </w:lvl>
  </w:abstractNum>
  <w:abstractNum w:abstractNumId="35">
    <w:multiLevelType w:val="hybridMultilevel"/>
    <w:nsid w:val="2F000023"/>
    <w:tmpl w:val="1F0026E4"/>
    <w:lvl w:ilvl="0">
      <w:lvlJc w:val="left"/>
      <w:numFmt w:val="bullet"/>
      <w:start w:val="10"/>
      <w:suff w:val="tab"/>
      <w:pPr>
        <w:ind w:left="405" w:hanging="360"/>
        <w:rPr/>
      </w:pPr>
      <w:rPr>
        <w:shd w:val="clear" w:color="auto" w:fill="auto"/>
        <w:rFonts w:ascii="Times New Roman" w:eastAsia="Times New Roman" w:hAnsi="Times New Roman" w:cs="Times New Roman" w:hint="default"/>
      </w:rPr>
      <w:lvlText w:val="-"/>
    </w:lvl>
    <w:lvl w:ilvl="1">
      <w:lvlJc w:val="left"/>
      <w:numFmt w:val="bullet"/>
      <w:start w:val="1"/>
      <w:suff w:val="tab"/>
      <w:pPr>
        <w:ind w:left="1125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2">
      <w:lvlJc w:val="left"/>
      <w:numFmt w:val="bullet"/>
      <w:start w:val="1"/>
      <w:suff w:val="tab"/>
      <w:pPr>
        <w:ind w:left="1845" w:hanging="360"/>
        <w:rPr/>
      </w:pPr>
      <w:rPr>
        <w:shd w:val="clear" w:color="auto" w:fill="auto"/>
        <w:rFonts w:ascii="Wingdings" w:hAnsi="Wingdings" w:hint="default"/>
      </w:rPr>
      <w:lvlText w:val="§"/>
    </w:lvl>
    <w:lvl w:ilvl="3">
      <w:lvlJc w:val="left"/>
      <w:numFmt w:val="bullet"/>
      <w:start w:val="1"/>
      <w:suff w:val="tab"/>
      <w:pPr>
        <w:ind w:left="2565" w:hanging="360"/>
        <w:rPr/>
      </w:pPr>
      <w:rPr>
        <w:shd w:val="clear" w:color="auto" w:fill="auto"/>
        <w:rFonts w:ascii="Symbol" w:hAnsi="Symbol" w:hint="default"/>
      </w:rPr>
      <w:lvlText w:val="·"/>
    </w:lvl>
    <w:lvl w:ilvl="4">
      <w:lvlJc w:val="left"/>
      <w:numFmt w:val="bullet"/>
      <w:start w:val="1"/>
      <w:suff w:val="tab"/>
      <w:pPr>
        <w:ind w:left="3285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5">
      <w:lvlJc w:val="left"/>
      <w:numFmt w:val="bullet"/>
      <w:start w:val="1"/>
      <w:suff w:val="tab"/>
      <w:pPr>
        <w:ind w:left="4005" w:hanging="360"/>
        <w:rPr/>
      </w:pPr>
      <w:rPr>
        <w:shd w:val="clear" w:color="auto" w:fill="auto"/>
        <w:rFonts w:ascii="Wingdings" w:hAnsi="Wingdings" w:hint="default"/>
      </w:rPr>
      <w:lvlText w:val="§"/>
    </w:lvl>
    <w:lvl w:ilvl="6">
      <w:lvlJc w:val="left"/>
      <w:numFmt w:val="bullet"/>
      <w:start w:val="1"/>
      <w:suff w:val="tab"/>
      <w:pPr>
        <w:ind w:left="4725" w:hanging="360"/>
        <w:rPr/>
      </w:pPr>
      <w:rPr>
        <w:shd w:val="clear" w:color="auto" w:fill="auto"/>
        <w:rFonts w:ascii="Symbol" w:hAnsi="Symbol" w:hint="default"/>
      </w:rPr>
      <w:lvlText w:val="·"/>
    </w:lvl>
    <w:lvl w:ilvl="7">
      <w:lvlJc w:val="left"/>
      <w:numFmt w:val="bullet"/>
      <w:start w:val="1"/>
      <w:suff w:val="tab"/>
      <w:pPr>
        <w:ind w:left="5445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8">
      <w:lvlJc w:val="left"/>
      <w:numFmt w:val="bullet"/>
      <w:start w:val="1"/>
      <w:suff w:val="tab"/>
      <w:pPr>
        <w:ind w:left="6165" w:hanging="360"/>
        <w:rPr/>
      </w:pPr>
      <w:rPr>
        <w:shd w:val="clear" w:color="auto" w:fill="auto"/>
        <w:rFonts w:ascii="Wingdings" w:hAnsi="Wingdings" w:hint="default"/>
      </w:rPr>
      <w:lvlText w:val="§"/>
    </w:lvl>
  </w:abstractNum>
  <w:abstractNum w:abstractNumId="36">
    <w:multiLevelType w:val="hybridMultilevel"/>
    <w:nsid w:val="2F000024"/>
    <w:tmpl w:val="1F003221"/>
    <w:lvl w:ilvl="0">
      <w:lvlJc w:val="left"/>
      <w:numFmt w:val="lowerLetter"/>
      <w:start w:val="1"/>
      <w:suff w:val="tab"/>
      <w:pPr>
        <w:ind w:left="1580" w:hanging="360"/>
        <w:rPr/>
      </w:pPr>
      <w:rPr>
        <w:shd w:val="clear" w:color="auto" w:fill="auto"/>
        <w:rFonts w:ascii="Times New Roman" w:eastAsia="Times New Roman" w:hAnsi="Times New Roman" w:hint="default"/>
      </w:rPr>
      <w:lvlText w:val="%1)"/>
    </w:lvl>
    <w:lvl w:ilvl="1">
      <w:lvlJc w:val="left"/>
      <w:numFmt w:val="lowerLetter"/>
      <w:start w:val="1"/>
      <w:suff w:val="tab"/>
      <w:pPr>
        <w:ind w:left="230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302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374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446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518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90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662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7340" w:hanging="180"/>
        <w:rPr/>
      </w:pPr>
      <w:rPr>
        <w:shd w:val="clear" w:color="auto" w:fill="auto"/>
      </w:rPr>
      <w:lvlText w:val="%9."/>
    </w:lvl>
  </w:abstractNum>
  <w:abstractNum w:abstractNumId="37">
    <w:multiLevelType w:val="hybridMultilevel"/>
    <w:nsid w:val="2F000025"/>
    <w:tmpl w:val="1F00335D"/>
    <w:lvl w:ilvl="0">
      <w:lvlJc w:val="left"/>
      <w:numFmt w:val="bullet"/>
      <w:start w:val="1"/>
      <w:suff w:val="tab"/>
      <w:pPr>
        <w:ind w:left="720" w:hanging="360"/>
        <w:rPr/>
      </w:pPr>
      <w:rPr>
        <w:shd w:val="clear" w:color="auto" w:fill="auto"/>
        <w:rFonts w:ascii="Symbol" w:hAnsi="Symbol" w:hint="default"/>
      </w:rPr>
      <w:lvlText w:val="·"/>
    </w:lvl>
    <w:lvl w:ilvl="1">
      <w:lvlJc w:val="left"/>
      <w:numFmt w:val="bullet"/>
      <w:start w:val="1"/>
      <w:suff w:val="tab"/>
      <w:pPr>
        <w:ind w:left="144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2">
      <w:lvlJc w:val="left"/>
      <w:numFmt w:val="bullet"/>
      <w:start w:val="1"/>
      <w:suff w:val="tab"/>
      <w:pPr>
        <w:ind w:left="2160" w:hanging="360"/>
        <w:rPr/>
      </w:pPr>
      <w:rPr>
        <w:shd w:val="clear" w:color="auto" w:fill="auto"/>
        <w:rFonts w:ascii="Wingdings" w:hAnsi="Wingdings" w:hint="default"/>
      </w:rPr>
      <w:lvlText w:val="§"/>
    </w:lvl>
    <w:lvl w:ilvl="3">
      <w:lvlJc w:val="left"/>
      <w:numFmt w:val="bullet"/>
      <w:start w:val="1"/>
      <w:suff w:val="tab"/>
      <w:pPr>
        <w:ind w:left="2880" w:hanging="360"/>
        <w:rPr/>
      </w:pPr>
      <w:rPr>
        <w:shd w:val="clear" w:color="auto" w:fill="auto"/>
        <w:rFonts w:ascii="Symbol" w:hAnsi="Symbol" w:hint="default"/>
      </w:rPr>
      <w:lvlText w:val="·"/>
    </w:lvl>
    <w:lvl w:ilvl="4">
      <w:lvlJc w:val="left"/>
      <w:numFmt w:val="bullet"/>
      <w:start w:val="1"/>
      <w:suff w:val="tab"/>
      <w:pPr>
        <w:ind w:left="360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5">
      <w:lvlJc w:val="left"/>
      <w:numFmt w:val="bullet"/>
      <w:start w:val="1"/>
      <w:suff w:val="tab"/>
      <w:pPr>
        <w:ind w:left="4320" w:hanging="360"/>
        <w:rPr/>
      </w:pPr>
      <w:rPr>
        <w:shd w:val="clear" w:color="auto" w:fill="auto"/>
        <w:rFonts w:ascii="Wingdings" w:hAnsi="Wingdings" w:hint="default"/>
      </w:rPr>
      <w:lvlText w:val="§"/>
    </w:lvl>
    <w:lvl w:ilvl="6">
      <w:lvlJc w:val="left"/>
      <w:numFmt w:val="bullet"/>
      <w:start w:val="1"/>
      <w:suff w:val="tab"/>
      <w:pPr>
        <w:ind w:left="5040" w:hanging="360"/>
        <w:rPr/>
      </w:pPr>
      <w:rPr>
        <w:shd w:val="clear" w:color="auto" w:fill="auto"/>
        <w:rFonts w:ascii="Symbol" w:hAnsi="Symbol" w:hint="default"/>
      </w:rPr>
      <w:lvlText w:val="·"/>
    </w:lvl>
    <w:lvl w:ilvl="7">
      <w:lvlJc w:val="left"/>
      <w:numFmt w:val="bullet"/>
      <w:start w:val="1"/>
      <w:suff w:val="tab"/>
      <w:pPr>
        <w:ind w:left="576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8">
      <w:lvlJc w:val="left"/>
      <w:numFmt w:val="bullet"/>
      <w:start w:val="1"/>
      <w:suff w:val="tab"/>
      <w:pPr>
        <w:ind w:left="6480" w:hanging="360"/>
        <w:rPr/>
      </w:pPr>
      <w:rPr>
        <w:shd w:val="clear" w:color="auto" w:fill="auto"/>
        <w:rFonts w:ascii="Wingdings" w:hAnsi="Wingdings" w:hint="default"/>
      </w:rPr>
      <w:lvlText w:val="§"/>
    </w:lvl>
  </w:abstractNum>
  <w:abstractNum w:abstractNumId="38">
    <w:multiLevelType w:val="hybridMultilevel"/>
    <w:nsid w:val="2F000026"/>
    <w:tmpl w:val="1F002145"/>
    <w:lvl w:ilvl="0">
      <w:lvlJc w:val="left"/>
      <w:numFmt w:val="upperLetter"/>
      <w:start w:val="1"/>
      <w:suff w:val="tab"/>
      <w:pPr>
        <w:ind w:left="1080" w:hanging="360"/>
        <w:rPr/>
      </w:pPr>
      <w:rPr>
        <w:shd w:val="clear" w:color="auto" w:fill="auto"/>
      </w:rPr>
      <w:lvlText w:val="%1."/>
    </w:lvl>
    <w:lvl w:ilvl="1">
      <w:lvlJc w:val="left"/>
      <w:numFmt w:val="lowerLetter"/>
      <w:start w:val="1"/>
      <w:suff w:val="tab"/>
      <w:pPr>
        <w:ind w:left="180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52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324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96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68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40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612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840" w:hanging="180"/>
        <w:rPr/>
      </w:pPr>
      <w:rPr>
        <w:shd w:val="clear" w:color="auto" w:fill="auto"/>
      </w:rPr>
      <w:lvlText w:val="%9."/>
    </w:lvl>
  </w:abstractNum>
  <w:abstractNum w:abstractNumId="39">
    <w:multiLevelType w:val="hybridMultilevel"/>
    <w:nsid w:val="2F000027"/>
    <w:tmpl w:val="1F001353"/>
    <w:lvl w:ilvl="0">
      <w:lvlJc w:val="left"/>
      <w:numFmt w:val="lowerRoman"/>
      <w:start w:val="10"/>
      <w:suff w:val="tab"/>
      <w:pPr>
        <w:ind w:left="990" w:hanging="720"/>
        <w:rPr/>
      </w:pPr>
      <w:rPr>
        <w:shd w:val="clear" w:color="auto" w:fill="auto"/>
        <w:rFonts w:hint="default"/>
      </w:rPr>
      <w:lvlText w:val="%1."/>
    </w:lvl>
    <w:lvl w:ilvl="1">
      <w:lvlJc w:val="left"/>
      <w:numFmt w:val="lowerLetter"/>
      <w:start w:val="1"/>
      <w:suff w:val="tab"/>
      <w:pPr>
        <w:ind w:left="135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07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79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51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23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495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67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390" w:hanging="180"/>
        <w:rPr/>
      </w:pPr>
      <w:rPr>
        <w:shd w:val="clear" w:color="auto" w:fill="auto"/>
      </w:rPr>
      <w:lvlText w:val="%9."/>
    </w:lvl>
  </w:abstractNum>
  <w:abstractNum w:abstractNumId="40">
    <w:multiLevelType w:val="hybridMultilevel"/>
    <w:nsid w:val="2F000028"/>
    <w:tmpl w:val="1F00380F"/>
    <w:lvl w:ilvl="0">
      <w:lvlJc w:val="left"/>
      <w:numFmt w:val="upperLetter"/>
      <w:start w:val="1"/>
      <w:suff w:val="tab"/>
      <w:pPr>
        <w:ind w:left="2205" w:hanging="360"/>
        <w:rPr/>
      </w:pPr>
      <w:rPr>
        <w:b w:val="1"/>
        <w:shd w:val="clear" w:color="auto" w:fill="auto"/>
        <w:rFonts w:ascii="Times New Roman" w:eastAsia="Calibri" w:hAnsi="Times New Roman" w:cs="Times New Roman"/>
      </w:rPr>
      <w:lvlText w:val="%1)"/>
    </w:lvl>
    <w:lvl w:ilvl="1">
      <w:lvlJc w:val="left"/>
      <w:numFmt w:val="lowerLetter"/>
      <w:start w:val="1"/>
      <w:suff w:val="tab"/>
      <w:pPr>
        <w:ind w:left="2925" w:hanging="360"/>
        <w:rPr/>
      </w:pPr>
      <w:rPr>
        <w:shd w:val="clear" w:color="auto" w:fill="auto"/>
        <w:rFonts w:ascii="Times New Roman" w:eastAsia="Times New Roman" w:hAnsi="Times New Roman" w:cs="Arial"/>
      </w:rPr>
      <w:lvlText w:val="%2)"/>
    </w:lvl>
    <w:lvl w:ilvl="2">
      <w:lvlJc w:val="left"/>
      <w:numFmt w:val="bullet"/>
      <w:start w:val="1"/>
      <w:suff w:val="tab"/>
      <w:pPr>
        <w:ind w:left="3645" w:hanging="360"/>
        <w:rPr/>
      </w:pPr>
      <w:rPr>
        <w:shd w:val="clear" w:color="auto" w:fill="auto"/>
        <w:rFonts w:ascii="Wingdings" w:hAnsi="Wingdings" w:hint="default"/>
      </w:rPr>
      <w:lvlText w:val="§"/>
    </w:lvl>
    <w:lvl w:ilvl="3">
      <w:lvlJc w:val="left"/>
      <w:numFmt w:val="bullet"/>
      <w:start w:val="1"/>
      <w:suff w:val="tab"/>
      <w:pPr>
        <w:ind w:left="4365" w:hanging="360"/>
        <w:rPr/>
      </w:pPr>
      <w:rPr>
        <w:shd w:val="clear" w:color="auto" w:fill="auto"/>
        <w:rFonts w:ascii="Symbol" w:hAnsi="Symbol" w:hint="default"/>
      </w:rPr>
      <w:lvlText w:val="·"/>
    </w:lvl>
    <w:lvl w:ilvl="4">
      <w:lvlJc w:val="left"/>
      <w:numFmt w:val="bullet"/>
      <w:start w:val="1"/>
      <w:suff w:val="tab"/>
      <w:pPr>
        <w:ind w:left="5085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5">
      <w:lvlJc w:val="left"/>
      <w:numFmt w:val="bullet"/>
      <w:start w:val="1"/>
      <w:suff w:val="tab"/>
      <w:pPr>
        <w:ind w:left="5805" w:hanging="360"/>
        <w:rPr/>
      </w:pPr>
      <w:rPr>
        <w:shd w:val="clear" w:color="auto" w:fill="auto"/>
        <w:rFonts w:ascii="Wingdings" w:hAnsi="Wingdings" w:hint="default"/>
      </w:rPr>
      <w:lvlText w:val="§"/>
    </w:lvl>
    <w:lvl w:ilvl="6">
      <w:lvlJc w:val="left"/>
      <w:numFmt w:val="bullet"/>
      <w:start w:val="1"/>
      <w:suff w:val="tab"/>
      <w:pPr>
        <w:ind w:left="6525" w:hanging="360"/>
        <w:rPr/>
      </w:pPr>
      <w:rPr>
        <w:shd w:val="clear" w:color="auto" w:fill="auto"/>
        <w:rFonts w:ascii="Symbol" w:hAnsi="Symbol" w:hint="default"/>
      </w:rPr>
      <w:lvlText w:val="·"/>
    </w:lvl>
    <w:lvl w:ilvl="7">
      <w:lvlJc w:val="left"/>
      <w:numFmt w:val="bullet"/>
      <w:start w:val="1"/>
      <w:suff w:val="tab"/>
      <w:pPr>
        <w:ind w:left="7245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8">
      <w:lvlJc w:val="left"/>
      <w:numFmt w:val="bullet"/>
      <w:start w:val="1"/>
      <w:suff w:val="tab"/>
      <w:pPr>
        <w:ind w:left="7965" w:hanging="360"/>
        <w:rPr/>
      </w:pPr>
      <w:rPr>
        <w:shd w:val="clear" w:color="auto" w:fill="auto"/>
        <w:rFonts w:ascii="Wingdings" w:hAnsi="Wingdings" w:hint="default"/>
      </w:rPr>
      <w:lvlText w:val="§"/>
    </w:lvl>
  </w:abstractNum>
  <w:abstractNum w:abstractNumId="41">
    <w:multiLevelType w:val="hybridMultilevel"/>
    <w:nsid w:val="2F000029"/>
    <w:tmpl w:val="1F002E81"/>
    <w:lvl w:ilvl="0">
      <w:lvlJc w:val="left"/>
      <w:numFmt w:val="lowerLetter"/>
      <w:start w:val="1"/>
      <w:suff w:val="tab"/>
      <w:pPr>
        <w:ind w:left="2481" w:hanging="360"/>
        <w:rPr/>
      </w:pPr>
      <w:rPr>
        <w:shd w:val="clear" w:color="auto" w:fill="auto"/>
        <w:rFonts w:ascii="Times New Roman" w:eastAsia="Times New Roman" w:hAnsi="Times New Roman" w:hint="default"/>
      </w:rPr>
      <w:lvlText w:val="%1)"/>
    </w:lvl>
    <w:lvl w:ilvl="1">
      <w:lvlJc w:val="left"/>
      <w:numFmt w:val="lowerLetter"/>
      <w:start w:val="1"/>
      <w:suff w:val="tab"/>
      <w:pPr>
        <w:ind w:left="3201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3921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4641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5361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6081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6801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7521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8241" w:hanging="180"/>
        <w:rPr/>
      </w:pPr>
      <w:rPr>
        <w:shd w:val="clear" w:color="auto" w:fill="auto"/>
      </w:rPr>
      <w:lvlText w:val="%9."/>
    </w:lvl>
  </w:abstractNum>
  <w:abstractNum w:abstractNumId="42">
    <w:multiLevelType w:val="hybridMultilevel"/>
    <w:nsid w:val="2F00002A"/>
    <w:tmpl w:val="1F003D2D"/>
    <w:lvl w:ilvl="0">
      <w:lvlJc w:val="left"/>
      <w:numFmt w:val="bullet"/>
      <w:start w:val="1"/>
      <w:suff w:val="tab"/>
      <w:pPr>
        <w:ind w:left="1125" w:hanging="360"/>
        <w:rPr/>
      </w:pPr>
      <w:rPr>
        <w:shd w:val="clear" w:color="auto" w:fill="auto"/>
        <w:rFonts w:ascii="Symbol" w:hAnsi="Symbol" w:hint="default"/>
      </w:rPr>
      <w:lvlText w:val="·"/>
    </w:lvl>
    <w:lvl w:ilvl="1">
      <w:lvlJc w:val="left"/>
      <w:numFmt w:val="lowerLetter"/>
      <w:start w:val="1"/>
      <w:suff w:val="tab"/>
      <w:pPr>
        <w:ind w:left="1845" w:hanging="360"/>
        <w:rPr/>
      </w:pPr>
      <w:rPr>
        <w:shd w:val="clear" w:color="auto" w:fill="auto"/>
      </w:rPr>
      <w:lvlText w:val="%2."/>
    </w:lvl>
    <w:lvl w:ilvl="2">
      <w:lvlJc w:val="left"/>
      <w:numFmt w:val="lowerRoman"/>
      <w:start w:val="1"/>
      <w:suff w:val="tab"/>
      <w:pPr>
        <w:ind w:left="3105" w:hanging="720"/>
        <w:rPr/>
      </w:pPr>
      <w:rPr>
        <w:shd w:val="clear" w:color="auto" w:fill="auto"/>
        <w:rFonts w:hint="default"/>
      </w:rPr>
      <w:lvlText w:val="(%3)"/>
    </w:lvl>
    <w:lvl w:ilvl="3">
      <w:lvlJc w:val="left"/>
      <w:numFmt w:val="decimal"/>
      <w:start w:val="1"/>
      <w:suff w:val="tab"/>
      <w:pPr>
        <w:ind w:left="3285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4005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725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445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6165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885" w:hanging="180"/>
        <w:rPr/>
      </w:pPr>
      <w:rPr>
        <w:shd w:val="clear" w:color="auto" w:fill="auto"/>
      </w:rPr>
      <w:lvlText w:val="%9."/>
    </w:lvl>
  </w:abstractNum>
  <w:abstractNum w:abstractNumId="43">
    <w:multiLevelType w:val="hybridMultilevel"/>
    <w:nsid w:val="2F00002B"/>
    <w:tmpl w:val="1F003B3E"/>
    <w:lvl w:ilvl="0">
      <w:lvlJc w:val="left"/>
      <w:numFmt w:val="bullet"/>
      <w:start w:val="1"/>
      <w:suff w:val="tab"/>
      <w:pPr>
        <w:ind w:left="720" w:hanging="360"/>
        <w:rPr/>
      </w:pPr>
      <w:rPr>
        <w:shd w:val="clear" w:color="auto" w:fill="auto"/>
        <w:rFonts w:ascii="Symbol" w:hAnsi="Symbol" w:hint="default"/>
      </w:rPr>
      <w:lvlText w:val="·"/>
    </w:lvl>
    <w:lvl w:ilvl="1">
      <w:lvlJc w:val="left"/>
      <w:numFmt w:val="bullet"/>
      <w:start w:val="1"/>
      <w:suff w:val="tab"/>
      <w:pPr>
        <w:ind w:left="144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2">
      <w:lvlJc w:val="left"/>
      <w:numFmt w:val="bullet"/>
      <w:start w:val="1"/>
      <w:suff w:val="tab"/>
      <w:pPr>
        <w:ind w:left="2160" w:hanging="360"/>
        <w:rPr/>
      </w:pPr>
      <w:rPr>
        <w:shd w:val="clear" w:color="auto" w:fill="auto"/>
        <w:rFonts w:ascii="Wingdings" w:hAnsi="Wingdings" w:hint="default"/>
      </w:rPr>
      <w:lvlText w:val="§"/>
    </w:lvl>
    <w:lvl w:ilvl="3">
      <w:lvlJc w:val="left"/>
      <w:numFmt w:val="bullet"/>
      <w:start w:val="1"/>
      <w:suff w:val="tab"/>
      <w:pPr>
        <w:ind w:left="2880" w:hanging="360"/>
        <w:rPr/>
      </w:pPr>
      <w:rPr>
        <w:shd w:val="clear" w:color="auto" w:fill="auto"/>
        <w:rFonts w:ascii="Symbol" w:hAnsi="Symbol" w:hint="default"/>
      </w:rPr>
      <w:lvlText w:val="·"/>
    </w:lvl>
    <w:lvl w:ilvl="4">
      <w:lvlJc w:val="left"/>
      <w:numFmt w:val="bullet"/>
      <w:start w:val="1"/>
      <w:suff w:val="tab"/>
      <w:pPr>
        <w:ind w:left="360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5">
      <w:lvlJc w:val="left"/>
      <w:numFmt w:val="bullet"/>
      <w:start w:val="1"/>
      <w:suff w:val="tab"/>
      <w:pPr>
        <w:ind w:left="4320" w:hanging="360"/>
        <w:rPr/>
      </w:pPr>
      <w:rPr>
        <w:shd w:val="clear" w:color="auto" w:fill="auto"/>
        <w:rFonts w:ascii="Wingdings" w:hAnsi="Wingdings" w:hint="default"/>
      </w:rPr>
      <w:lvlText w:val="§"/>
    </w:lvl>
    <w:lvl w:ilvl="6">
      <w:lvlJc w:val="left"/>
      <w:numFmt w:val="bullet"/>
      <w:start w:val="1"/>
      <w:suff w:val="tab"/>
      <w:pPr>
        <w:ind w:left="5040" w:hanging="360"/>
        <w:rPr/>
      </w:pPr>
      <w:rPr>
        <w:shd w:val="clear" w:color="auto" w:fill="auto"/>
        <w:rFonts w:ascii="Symbol" w:hAnsi="Symbol" w:hint="default"/>
      </w:rPr>
      <w:lvlText w:val="·"/>
    </w:lvl>
    <w:lvl w:ilvl="7">
      <w:lvlJc w:val="left"/>
      <w:numFmt w:val="bullet"/>
      <w:start w:val="1"/>
      <w:suff w:val="tab"/>
      <w:pPr>
        <w:ind w:left="576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8">
      <w:lvlJc w:val="left"/>
      <w:numFmt w:val="bullet"/>
      <w:start w:val="1"/>
      <w:suff w:val="tab"/>
      <w:pPr>
        <w:ind w:left="6480" w:hanging="360"/>
        <w:rPr/>
      </w:pPr>
      <w:rPr>
        <w:shd w:val="clear" w:color="auto" w:fill="auto"/>
        <w:rFonts w:ascii="Wingdings" w:hAnsi="Wingdings" w:hint="default"/>
      </w:rPr>
      <w:lvlText w:val="§"/>
    </w:lvl>
  </w:abstractNum>
  <w:abstractNum w:abstractNumId="44">
    <w:multiLevelType w:val="hybridMultilevel"/>
    <w:nsid w:val="2F00002C"/>
    <w:tmpl w:val="1F002284"/>
    <w:lvl w:ilvl="0">
      <w:lvlJc w:val="left"/>
      <w:numFmt w:val="decimal"/>
      <w:start w:val="10"/>
      <w:suff w:val="tab"/>
      <w:pPr>
        <w:ind w:left="720" w:hanging="360"/>
        <w:rPr/>
      </w:pPr>
      <w:rPr>
        <w:shd w:val="clear" w:color="auto" w:fill="auto"/>
        <w:rFonts w:hint="default"/>
      </w:rPr>
      <w:lvlText w:val="%1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 w:color="auto" w:fill="auto"/>
      </w:rPr>
      <w:lvlText w:val="%9."/>
    </w:lvl>
  </w:abstractNum>
  <w:abstractNum w:abstractNumId="45">
    <w:multiLevelType w:val="hybridMultilevel"/>
    <w:nsid w:val="2F00002D"/>
    <w:tmpl w:val="1F00091C"/>
    <w:lvl w:ilvl="0">
      <w:lvlJc w:val="left"/>
      <w:numFmt w:val="bullet"/>
      <w:start w:val="1"/>
      <w:suff w:val="tab"/>
      <w:pPr>
        <w:ind w:left="1800" w:hanging="360"/>
        <w:rPr/>
      </w:pPr>
      <w:rPr>
        <w:shd w:val="clear" w:color="auto" w:fill="auto"/>
        <w:rFonts w:ascii="Symbol" w:hAnsi="Symbol" w:hint="default"/>
      </w:rPr>
      <w:lvlText w:val="·"/>
    </w:lvl>
    <w:lvl w:ilvl="1">
      <w:lvlJc w:val="left"/>
      <w:numFmt w:val="bullet"/>
      <w:start w:val="1"/>
      <w:suff w:val="tab"/>
      <w:pPr>
        <w:ind w:left="252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2">
      <w:lvlJc w:val="left"/>
      <w:numFmt w:val="bullet"/>
      <w:start w:val="1"/>
      <w:suff w:val="tab"/>
      <w:pPr>
        <w:ind w:left="3240" w:hanging="360"/>
        <w:rPr/>
      </w:pPr>
      <w:rPr>
        <w:shd w:val="clear" w:color="auto" w:fill="auto"/>
        <w:rFonts w:ascii="Wingdings" w:hAnsi="Wingdings" w:hint="default"/>
      </w:rPr>
      <w:lvlText w:val="§"/>
    </w:lvl>
    <w:lvl w:ilvl="3">
      <w:lvlJc w:val="left"/>
      <w:numFmt w:val="bullet"/>
      <w:start w:val="1"/>
      <w:suff w:val="tab"/>
      <w:pPr>
        <w:ind w:left="3960" w:hanging="360"/>
        <w:rPr/>
      </w:pPr>
      <w:rPr>
        <w:shd w:val="clear" w:color="auto" w:fill="auto"/>
        <w:rFonts w:ascii="Symbol" w:hAnsi="Symbol" w:hint="default"/>
      </w:rPr>
      <w:lvlText w:val="·"/>
    </w:lvl>
    <w:lvl w:ilvl="4">
      <w:lvlJc w:val="left"/>
      <w:numFmt w:val="bullet"/>
      <w:start w:val="1"/>
      <w:suff w:val="tab"/>
      <w:pPr>
        <w:ind w:left="468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5">
      <w:lvlJc w:val="left"/>
      <w:numFmt w:val="bullet"/>
      <w:start w:val="1"/>
      <w:suff w:val="tab"/>
      <w:pPr>
        <w:ind w:left="5400" w:hanging="360"/>
        <w:rPr/>
      </w:pPr>
      <w:rPr>
        <w:shd w:val="clear" w:color="auto" w:fill="auto"/>
        <w:rFonts w:ascii="Wingdings" w:hAnsi="Wingdings" w:hint="default"/>
      </w:rPr>
      <w:lvlText w:val="§"/>
    </w:lvl>
    <w:lvl w:ilvl="6">
      <w:lvlJc w:val="left"/>
      <w:numFmt w:val="bullet"/>
      <w:start w:val="1"/>
      <w:suff w:val="tab"/>
      <w:pPr>
        <w:ind w:left="6120" w:hanging="360"/>
        <w:rPr/>
      </w:pPr>
      <w:rPr>
        <w:shd w:val="clear" w:color="auto" w:fill="auto"/>
        <w:rFonts w:ascii="Symbol" w:hAnsi="Symbol" w:hint="default"/>
      </w:rPr>
      <w:lvlText w:val="·"/>
    </w:lvl>
    <w:lvl w:ilvl="7">
      <w:lvlJc w:val="left"/>
      <w:numFmt w:val="bullet"/>
      <w:start w:val="1"/>
      <w:suff w:val="tab"/>
      <w:pPr>
        <w:ind w:left="684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8">
      <w:lvlJc w:val="left"/>
      <w:numFmt w:val="bullet"/>
      <w:start w:val="1"/>
      <w:suff w:val="tab"/>
      <w:pPr>
        <w:ind w:left="7560" w:hanging="360"/>
        <w:rPr/>
      </w:pPr>
      <w:rPr>
        <w:shd w:val="clear" w:color="auto" w:fill="auto"/>
        <w:rFonts w:ascii="Wingdings" w:hAnsi="Wingdings" w:hint="default"/>
      </w:rPr>
      <w:lvlText w:val="§"/>
    </w:lvl>
  </w:abstractNum>
  <w:abstractNum w:abstractNumId="46">
    <w:multiLevelType w:val="hybridMultilevel"/>
    <w:nsid w:val="2F00002E"/>
    <w:tmpl w:val="1F001D92"/>
    <w:lvl w:ilvl="0">
      <w:lvlJc w:val="left"/>
      <w:numFmt w:val="decimal"/>
      <w:start w:val="2"/>
      <w:suff w:val="tab"/>
      <w:rPr>
        <w:shd w:val="clear" w:color="auto" w:fill="auto"/>
      </w:rPr>
      <w:lvlText w:val="%1."/>
    </w:lvl>
    <w:lvl w:ilvl="1">
      <w:lvlJc w:val="left"/>
      <w:numFmt w:val="upperLetter"/>
      <w:start w:val="1"/>
      <w:suff w:val="tab"/>
      <w:rPr>
        <w:shd w:val="clear" w:color="auto" w:fill="auto"/>
      </w:rPr>
      <w:lvlText w:val="%2."/>
    </w:lvl>
    <w:lvl w:ilvl="2">
      <w:lvlJc w:val="left"/>
      <w:numFmt w:val="bullet"/>
      <w:start w:val="1"/>
      <w:suff w:val="tab"/>
      <w:rPr>
        <w:shd w:val="clear" w:color="auto" w:fill="auto"/>
      </w:rPr>
      <w:lvlText w:val="•"/>
    </w:lvl>
    <w:lvl w:ilvl="3">
      <w:lvlJc w:val="left"/>
      <w:numFmt w:val="bullet"/>
      <w:start w:val="1"/>
      <w:suff w:val="tab"/>
      <w:rPr>
        <w:shd w:val="clear" w:color="auto" w:fill="auto"/>
      </w:rPr>
      <w:lvlText w:val=""/>
    </w:lvl>
    <w:lvl w:ilvl="4">
      <w:lvlJc w:val="left"/>
      <w:numFmt w:val="bullet"/>
      <w:start w:val="1"/>
      <w:suff w:val="tab"/>
      <w:rPr>
        <w:shd w:val="clear" w:color="auto" w:fill="auto"/>
      </w:rPr>
      <w:lvlText w:val=""/>
    </w:lvl>
    <w:lvl w:ilvl="5">
      <w:lvlJc w:val="left"/>
      <w:numFmt w:val="bullet"/>
      <w:start w:val="1"/>
      <w:suff w:val="tab"/>
      <w:rPr>
        <w:shd w:val="clear" w:color="auto" w:fill="auto"/>
      </w:rPr>
      <w:lvlText w:val=""/>
    </w:lvl>
    <w:lvl w:ilvl="6">
      <w:lvlJc w:val="left"/>
      <w:numFmt w:val="bullet"/>
      <w:start w:val="1"/>
      <w:suff w:val="tab"/>
      <w:rPr>
        <w:shd w:val="clear" w:color="auto" w:fill="auto"/>
      </w:rPr>
      <w:lvlText w:val=""/>
    </w:lvl>
    <w:lvl w:ilvl="7">
      <w:lvlJc w:val="left"/>
      <w:numFmt w:val="bullet"/>
      <w:start w:val="1"/>
      <w:suff w:val="tab"/>
      <w:rPr>
        <w:shd w:val="clear" w:color="auto" w:fill="auto"/>
      </w:rPr>
      <w:lvlText w:val=""/>
    </w:lvl>
    <w:lvl w:ilvl="8">
      <w:lvlJc w:val="left"/>
      <w:numFmt w:val="bullet"/>
      <w:start w:val="1"/>
      <w:suff w:val="tab"/>
      <w:rPr>
        <w:shd w:val="clear" w:color="auto" w:fill="auto"/>
      </w:rPr>
      <w:lvlText w:val="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2"/>
    <w:lvlOverride w:ilvl="0">
      <w:startOverride w:val="0"/>
      <w:lvl w:ilvl="0">
        <w:lvlJc w:val="left"/>
        <w:numFmt w:val="bullet"/>
        <w:start w:val="1"/>
        <w:suff w:val="tab"/>
        <w:pPr>
          <w:ind w:left="1285" w:hanging="360"/>
          <w:rPr/>
        </w:pPr>
        <w:rPr>
          <w:shd w:val="clear" w:color="auto" w:fill="auto"/>
          <w:rFonts w:ascii="Symbol" w:hAnsi="Symbol" w:hint="default"/>
        </w:rPr>
        <w:lvlText w:val="·"/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0"/>
      <w:lvl w:ilvl="0">
        <w:lvlJc w:val="left"/>
        <w:numFmt w:val="bullet"/>
        <w:start w:val="1"/>
        <w:suff w:val="tab"/>
        <w:pPr>
          <w:ind w:left="1196" w:hanging="360"/>
          <w:rPr/>
        </w:pPr>
        <w:rPr>
          <w:shd w:val="clear" w:color="auto" w:fill="auto"/>
          <w:rFonts w:ascii="Symbol" w:hAnsi="Symbol" w:hint="default"/>
        </w:rPr>
        <w:lvlText w:val="·"/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0"/>
      <w:lvl w:ilvl="3">
        <w:lvlJc w:val="left"/>
        <w:numFmt w:val="bullet"/>
        <w:start w:val="1"/>
        <w:suff w:val="tab"/>
        <w:rPr>
          <w:shd w:val="clear" w:color="auto" w:fill="auto"/>
        </w:rPr>
        <w:lvlText w:val=""/>
      </w:lvl>
    </w:lvlOverride>
    <w:lvlOverride w:ilvl="4">
      <w:startOverride w:val="0"/>
      <w:lvl w:ilvl="4">
        <w:lvlJc w:val="left"/>
        <w:numFmt w:val="bullet"/>
        <w:start w:val="1"/>
        <w:suff w:val="tab"/>
        <w:rPr>
          <w:shd w:val="clear" w:color="auto" w:fill="auto"/>
        </w:rPr>
        <w:lvlText w:val=""/>
      </w:lvl>
    </w:lvlOverride>
    <w:lvlOverride w:ilvl="5">
      <w:startOverride w:val="0"/>
      <w:lvl w:ilvl="5">
        <w:lvlJc w:val="left"/>
        <w:numFmt w:val="bullet"/>
        <w:start w:val="1"/>
        <w:suff w:val="tab"/>
        <w:rPr>
          <w:shd w:val="clear" w:color="auto" w:fill="auto"/>
        </w:rPr>
        <w:lvlText w:val=""/>
      </w:lvl>
    </w:lvlOverride>
    <w:lvlOverride w:ilvl="6">
      <w:startOverride w:val="0"/>
      <w:lvl w:ilvl="6">
        <w:lvlJc w:val="left"/>
        <w:numFmt w:val="bullet"/>
        <w:start w:val="1"/>
        <w:suff w:val="tab"/>
        <w:rPr>
          <w:shd w:val="clear" w:color="auto" w:fill="auto"/>
        </w:rPr>
        <w:lvlText w:val=""/>
      </w:lvl>
    </w:lvlOverride>
    <w:lvlOverride w:ilvl="7">
      <w:startOverride w:val="0"/>
      <w:lvl w:ilvl="7">
        <w:lvlJc w:val="left"/>
        <w:numFmt w:val="bullet"/>
        <w:start w:val="1"/>
        <w:suff w:val="tab"/>
        <w:rPr>
          <w:shd w:val="clear" w:color="auto" w:fill="auto"/>
        </w:rPr>
        <w:lvlText w:val=""/>
      </w:lvl>
    </w:lvlOverride>
    <w:lvlOverride w:ilvl="8">
      <w:startOverride w:val="0"/>
      <w:lvl w:ilvl="8">
        <w:lvlJc w:val="left"/>
        <w:numFmt w:val="bullet"/>
        <w:start w:val="1"/>
        <w:suff w:val="tab"/>
        <w:rPr>
          <w:shd w:val="clear" w:color="auto" w:fill="auto"/>
        </w:rPr>
        <w:lvlText w:val=""/>
      </w:lvl>
    </w:lvlOverride>
  </w:num>
  <w:num w:numId="25">
    <w:abstractNumId w:val="30"/>
  </w:num>
  <w:num w:numId="26">
    <w:abstractNumId w:val="35"/>
  </w:num>
  <w:num w:numId="27">
    <w:abstractNumId w:val="22"/>
  </w:num>
  <w:num w:numId="28">
    <w:abstractNumId w:val="26"/>
  </w:num>
  <w:num w:numId="29">
    <w:abstractNumId w:val="40"/>
  </w:num>
  <w:num w:numId="30">
    <w:abstractNumId w:val="29"/>
  </w:num>
  <w:num w:numId="31">
    <w:abstractNumId w:val="44"/>
  </w:num>
  <w:num w:numId="32">
    <w:abstractNumId w:val="31"/>
  </w:num>
  <w:num w:numId="33">
    <w:abstractNumId w:val="43"/>
  </w:num>
  <w:num w:numId="34">
    <w:abstractNumId w:val="37"/>
  </w:num>
  <w:num w:numId="35">
    <w:abstractNumId w:val="42"/>
  </w:num>
  <w:num w:numId="36">
    <w:abstractNumId w:val="39"/>
  </w:num>
  <w:num w:numId="37">
    <w:abstractNumId w:val="21"/>
  </w:num>
  <w:num w:numId="38">
    <w:abstractNumId w:val="41"/>
  </w:num>
  <w:num w:numId="39">
    <w:abstractNumId w:val="28"/>
  </w:num>
  <w:num w:numId="40">
    <w:abstractNumId w:val="36"/>
  </w:num>
  <w:num w:numId="41">
    <w:abstractNumId w:val="25"/>
  </w:num>
  <w:num w:numId="42">
    <w:abstractNumId w:val="33"/>
  </w:num>
  <w:num w:numId="43">
    <w:abstractNumId w:val="24"/>
  </w:num>
  <w:num w:numId="44">
    <w:abstractNumId w:val="45"/>
  </w:num>
  <w:num w:numId="45">
    <w:abstractNumId w:val="27"/>
  </w:num>
  <w:num w:numId="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isplayBackgroundShape w:val="true"/>
  <w:defaultTabStop w:val="720"/>
  <w:displayHorizontalDrawingGridEvery w:val="0"/>
  <w:displayVerticalDrawingGridEvery w:val="2"/>
  <w:noPunctuationKerning/>
  <w:characterSpacingControl w:val="doNotCompress"/>
  <w:bordersDoNotSurroundHeader/>
  <w:bordersDoNotSurroundFooter/>
  <w:compat>
    <w:useFELayout/>
    <w:compatSetting w:name="compatibilityMode" w:uri="http://schemas.microsoft.com/office/word" w:val="12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rPr/>
      </w:pPr>
    </w:pPrDefault>
    <w:rPrDefault>
      <w:rPr>
        <w:shd w:val="clear" w:color="auto" w:fill="auto"/>
        <w:rFonts w:ascii="Calibri" w:eastAsia="Calibri" w:hAnsi="Calibri" w:cs="Arial"/>
        <w:lang w:bidi="ar-SA" w:eastAsia="en-US" w:val="en-US"/>
      </w:rPr>
    </w:rPrDefault>
  </w:docDefaults>
  <w:style w:default="1" w:styleId="PO1" w:type="paragraph">
    <w:name w:val="Normal"/>
    <w:qFormat/>
  </w:style>
  <w:style w:default="1" w:styleId="PO2" w:type="character">
    <w:name w:val="Default Paragraph Font"/>
    <w:uiPriority w:val="1"/>
    <w:semiHidden/>
    <w:unhideWhenUsed/>
  </w:style>
  <w:style w:default="1" w:styleId="PO3" w:type="table">
    <w:name w:val="Normal Table"/>
    <w:uiPriority w:val="99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99"/>
    <w:semiHidden/>
    <w:unhideWhenUsed/>
  </w:style>
  <w:style w:styleId="PO26" w:type="paragraph">
    <w:name w:val="List Paragraph"/>
    <w:basedOn w:val="PO1"/>
    <w:link w:val="PO159"/>
    <w:qFormat/>
    <w:uiPriority w:val="34"/>
    <w:pPr>
      <w:contextualSpacing w:val="1"/>
      <w:ind w:left="720" w:firstLine="0"/>
      <w:rPr/>
    </w:pPr>
    <w:rPr>
      <w:shd w:val="clear" w:color="auto" w:fill="auto"/>
    </w:rPr>
  </w:style>
  <w:style w:styleId="PO37" w:type="table">
    <w:name w:val="Table Grid"/>
    <w:basedOn w:val="PO3"/>
    <w:uiPriority w:val="39"/>
    <w:pPr>
      <w:spacing w:lineRule="auto" w:line="240" w:after="0"/>
      <w:rPr/>
    </w:pPr>
    <w:rPr>
      <w:shd w:val="clear" w:color="auto" w:fill="auto"/>
    </w:rPr>
    <w:tblPr>
      <w:tblBorders>
        <w:bottom w:val="single" w:color="auto" w:sz="4"/>
        <w:insideH w:val="single" w:color="auto" w:sz="4"/>
        <w:insideV w:val="single" w:color="auto" w:sz="4"/>
        <w:left w:val="single" w:color="auto" w:sz="4"/>
        <w:right w:val="single" w:color="auto" w:sz="4"/>
        <w:top w:val="single" w:color="auto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styleId="PO38" w:type="table">
    <w:name w:val="Grid Table Light"/>
    <w:basedOn w:val="PO3"/>
    <w:uiPriority w:val="40"/>
    <w:pPr>
      <w:spacing w:lineRule="auto" w:line="240" w:after="0"/>
      <w:rPr/>
    </w:pPr>
    <w:rPr>
      <w:shd w:val="clear" w:color="auto" w:fill="auto"/>
    </w:rPr>
    <w:tblPr>
      <w:tblBorders>
        <w:bottom w:val="single" w:color="BEBEBE" w:themeColor="background1" w:themeShade="BE" w:sz="4"/>
        <w:insideH w:val="single" w:color="BEBEBE" w:themeColor="background1" w:themeShade="BE" w:sz="4"/>
        <w:insideV w:val="single" w:color="BEBEBE" w:themeColor="background1" w:themeShade="BE" w:sz="4"/>
        <w:left w:val="single" w:color="BEBEBE" w:themeColor="background1" w:themeShade="BE" w:sz="4"/>
        <w:right w:val="single" w:color="BEBEBE" w:themeColor="background1" w:themeShade="BE" w:sz="4"/>
        <w:top w:val="single" w:color="BEBEBE" w:themeColor="background1" w:themeShade="BE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styleId="PO39" w:type="table">
    <w:name w:val="Plain Table 1"/>
    <w:basedOn w:val="PO3"/>
    <w:uiPriority w:val="41"/>
    <w:pPr>
      <w:spacing w:lineRule="auto" w:line="240" w:after="0"/>
      <w:rPr/>
    </w:pPr>
    <w:rPr>
      <w:shd w:val="clear" w:color="auto" w:fill="auto"/>
    </w:rPr>
    <w:tblPr>
      <w:tblBorders>
        <w:bottom w:val="single" w:color="BEBEBE" w:themeColor="background1" w:themeShade="BE" w:sz="4"/>
        <w:insideH w:val="single" w:color="BEBEBE" w:themeColor="background1" w:themeShade="BE" w:sz="4"/>
        <w:insideV w:val="single" w:color="BEBEBE" w:themeColor="background1" w:themeShade="BE" w:sz="4"/>
        <w:left w:val="single" w:color="BEBEBE" w:themeColor="background1" w:themeShade="BE" w:sz="4"/>
        <w:right w:val="single" w:color="BEBEBE" w:themeColor="background1" w:themeShade="BE" w:sz="4"/>
        <w:top w:val="single" w:color="BEBEBE" w:themeColor="background1" w:themeShade="BE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1F1F1" w:themeFill="background1" w:themeFillShade="F1" w:color="000000" w:val="clear"/>
      </w:tcPr>
    </w:tblStylePr>
    <w:tblStylePr w:type="band1Vert">
      <w:tcPr>
        <w:shd w:fill="F1F1F1" w:themeFill="background1" w:themeFillShade="F1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BEBEBE" w:themeColor="background1" w:themeShade="BE" w:sz="4"/>
        </w:tcBorders>
      </w:tcPr>
    </w:tblStylePr>
  </w:style>
  <w:style w:styleId="PO40" w:type="table">
    <w:name w:val="Plain Table 2"/>
    <w:basedOn w:val="PO3"/>
    <w:uiPriority w:val="42"/>
    <w:pPr>
      <w:spacing w:lineRule="auto" w:line="240" w:after="0"/>
      <w:rPr/>
    </w:pPr>
    <w:rPr>
      <w:shd w:val="clear" w:color="auto" w:fill="auto"/>
    </w:rPr>
    <w:tblPr>
      <w:tblBorders>
        <w:bottom w:val="single" w:color="808080" w:themeColor="text1" w:themeTint="7F" w:sz="4"/>
        <w:top w:val="single" w:color="808080" w:themeColor="text1" w:themeTint="7F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808080" w:themeColor="text1" w:themeTint="7F" w:sz="4"/>
          <w:top w:val="single" w:color="808080" w:themeColor="text1" w:themeTint="7F" w:sz="4"/>
        </w:tcBorders>
      </w:tcPr>
    </w:tblStylePr>
    <w:tblStylePr w:type="band1Vert">
      <w:tcPr>
        <w:tcBorders>
          <w:left w:val="single" w:color="808080" w:themeColor="text1" w:themeTint="7F" w:sz="4"/>
          <w:right w:val="single" w:color="808080" w:themeColor="text1" w:themeTint="7F" w:sz="4"/>
        </w:tcBorders>
      </w:tcPr>
    </w:tblStylePr>
    <w:tblStylePr w:type="band2Vert">
      <w:tcPr>
        <w:tcBorders>
          <w:left w:val="single" w:color="808080" w:themeColor="text1" w:themeTint="7F" w:sz="4"/>
          <w:right w:val="single" w:color="808080" w:themeColor="text1" w:themeTint="7F" w:sz="4"/>
        </w:tcBorders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808080" w:themeColor="text1" w:themeTint="7F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single" w:color="808080" w:themeColor="text1" w:themeTint="7F" w:sz="4"/>
        </w:tcBorders>
      </w:tcPr>
    </w:tblStylePr>
  </w:style>
  <w:style w:styleId="PO41" w:type="table">
    <w:name w:val="Plain Table 3"/>
    <w:basedOn w:val="PO3"/>
    <w:uiPriority w:val="43"/>
    <w:pPr>
      <w:spacing w:lineRule="auto" w:line="240" w:after="0"/>
      <w:rPr/>
    </w:pPr>
    <w:rPr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1F1F1" w:themeFill="background1" w:themeFillShade="F1" w:color="000000" w:val="clear"/>
      </w:tcPr>
    </w:tblStylePr>
    <w:tblStylePr w:type="band1Vert">
      <w:tcPr>
        <w:shd w:fill="F1F1F1" w:themeFill="background1" w:themeFillShade="F1" w:color="000000" w:val="clear"/>
      </w:tcPr>
    </w:tblStylePr>
    <w:tblStylePr w:type="firstCol">
      <w:rPr>
        <w:b w:val="1"/>
        <w:shd w:val="clear" w:color="auto" w:fill="auto"/>
        <w:caps w:val="1"/>
      </w:rPr>
      <w:tcPr>
        <w:tcBorders>
          <w:right w:val="single" w:color="808080" w:themeColor="text1" w:themeTint="7F" w:sz="4"/>
        </w:tcBorders>
      </w:tcPr>
    </w:tblStylePr>
    <w:tblStylePr w:type="firstRow">
      <w:rPr>
        <w:b w:val="1"/>
        <w:shd w:val="clear" w:color="auto" w:fill="auto"/>
        <w:caps w:val="1"/>
      </w:rPr>
      <w:tcPr>
        <w:tcBorders>
          <w:bottom w:val="single" w:color="808080" w:themeColor="text1" w:themeTint="7F" w:sz="4"/>
        </w:tcBorders>
      </w:tcPr>
    </w:tblStylePr>
    <w:tblStylePr w:type="lastCol">
      <w:rPr>
        <w:b w:val="1"/>
        <w:shd w:val="clear" w:color="auto" w:fill="auto"/>
        <w:caps w:val="1"/>
      </w:rPr>
      <w:tcPr>
        <w:tcBorders>
          <w:left w:val="nil"/>
        </w:tcBorders>
      </w:tcPr>
    </w:tblStylePr>
    <w:tblStylePr w:type="lastRow">
      <w:rPr>
        <w:b w:val="1"/>
        <w:shd w:val="clear" w:color="auto" w:fill="auto"/>
        <w:caps w:val="1"/>
      </w:rPr>
      <w:tcPr>
        <w:tcBorders>
          <w:top w:val="nil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styleId="PO42" w:type="table">
    <w:name w:val="Plain Table 4"/>
    <w:basedOn w:val="PO3"/>
    <w:uiPriority w:val="44"/>
    <w:pPr>
      <w:spacing w:lineRule="auto" w:line="240" w:after="0"/>
      <w:rPr/>
    </w:pPr>
    <w:rPr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1F1F1" w:themeFill="background1" w:themeFillShade="F1" w:color="000000" w:val="clear"/>
      </w:tcPr>
    </w:tblStylePr>
    <w:tblStylePr w:type="band1Vert">
      <w:tcPr>
        <w:shd w:fill="F1F1F1" w:themeFill="background1" w:themeFillShade="F1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styleId="PO43" w:type="table">
    <w:name w:val="Plain Table 5"/>
    <w:basedOn w:val="PO3"/>
    <w:uiPriority w:val="45"/>
    <w:pPr>
      <w:spacing w:lineRule="auto" w:line="240" w:after="0"/>
      <w:rPr/>
    </w:pPr>
    <w:rPr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1F1F1" w:themeFill="background1" w:themeFillShade="F1" w:color="000000" w:val="clear"/>
      </w:tcPr>
    </w:tblStylePr>
    <w:tblStylePr w:type="band1Vert">
      <w:tcPr>
        <w:shd w:fill="F1F1F1" w:themeFill="background1" w:themeFillShade="F1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right w:val="single" w:color="808080" w:themeColor="text1" w:themeTint="7F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bottom w:val="single" w:color="808080" w:themeColor="text1" w:themeTint="7F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left w:val="single" w:color="808080" w:themeColor="text1" w:themeTint="7F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top w:val="single" w:color="808080" w:themeColor="text1" w:themeTint="7F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44" w:type="table">
    <w:name w:val="Grid Table 1 Light"/>
    <w:basedOn w:val="PO3"/>
    <w:uiPriority w:val="46"/>
    <w:pPr>
      <w:spacing w:lineRule="auto" w:line="240" w:after="0"/>
      <w:rPr/>
    </w:pPr>
    <w:rPr>
      <w:shd w:val="clear" w:color="auto" w:fill="auto"/>
    </w:rPr>
    <w:tblPr>
      <w:tblBorders>
        <w:bottom w:val="single" w:color="999999" w:themeColor="text1" w:themeTint="66" w:sz="4"/>
        <w:insideH w:val="single" w:color="999999" w:themeColor="text1" w:themeTint="66" w:sz="4"/>
        <w:insideV w:val="single" w:color="999999" w:themeColor="text1" w:themeTint="66" w:sz="4"/>
        <w:left w:val="single" w:color="999999" w:themeColor="text1" w:themeTint="66" w:sz="4"/>
        <w:right w:val="single" w:color="999999" w:themeColor="text1" w:themeTint="66" w:sz="4"/>
        <w:top w:val="single" w:color="999999" w:themeColor="text1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666666" w:themeColor="text1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666666" w:themeColor="text1" w:themeTint="99" w:sz="2"/>
        </w:tcBorders>
      </w:tcPr>
    </w:tblStylePr>
  </w:style>
  <w:style w:styleId="PO45" w:type="table">
    <w:name w:val="Grid Table 1 Light Accent 1"/>
    <w:basedOn w:val="PO3"/>
    <w:uiPriority w:val="46"/>
    <w:pPr>
      <w:spacing w:lineRule="auto" w:line="240" w:after="0"/>
      <w:rPr/>
    </w:pPr>
    <w:rPr>
      <w:shd w:val="clear" w:color="auto" w:fill="auto"/>
    </w:rPr>
    <w:tblPr>
      <w:tblBorders>
        <w:bottom w:val="single" w:color="B9CDE5" w:themeColor="accent1" w:themeTint="66" w:sz="4"/>
        <w:insideH w:val="single" w:color="B9CDE5" w:themeColor="accent1" w:themeTint="66" w:sz="4"/>
        <w:insideV w:val="single" w:color="B9CDE5" w:themeColor="accent1" w:themeTint="66" w:sz="4"/>
        <w:left w:val="single" w:color="B9CDE5" w:themeColor="accent1" w:themeTint="66" w:sz="4"/>
        <w:right w:val="single" w:color="B9CDE5" w:themeColor="accent1" w:themeTint="66" w:sz="4"/>
        <w:top w:val="single" w:color="B9CDE5" w:themeColor="accent1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95B3D7" w:themeColor="accent1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95B3D7" w:themeColor="accent1" w:themeTint="99" w:sz="2"/>
        </w:tcBorders>
      </w:tcPr>
    </w:tblStylePr>
  </w:style>
  <w:style w:styleId="PO46" w:type="table">
    <w:name w:val="Grid Table 1 Light Accent 2"/>
    <w:basedOn w:val="PO3"/>
    <w:uiPriority w:val="46"/>
    <w:pPr>
      <w:spacing w:lineRule="auto" w:line="240" w:after="0"/>
      <w:rPr/>
    </w:pPr>
    <w:rPr>
      <w:shd w:val="clear" w:color="auto" w:fill="auto"/>
    </w:rPr>
    <w:tblPr>
      <w:tblBorders>
        <w:bottom w:val="single" w:color="E6B9B8" w:themeColor="accent2" w:themeTint="66" w:sz="4"/>
        <w:insideH w:val="single" w:color="E6B9B8" w:themeColor="accent2" w:themeTint="66" w:sz="4"/>
        <w:insideV w:val="single" w:color="E6B9B8" w:themeColor="accent2" w:themeTint="66" w:sz="4"/>
        <w:left w:val="single" w:color="E6B9B8" w:themeColor="accent2" w:themeTint="66" w:sz="4"/>
        <w:right w:val="single" w:color="E6B9B8" w:themeColor="accent2" w:themeTint="66" w:sz="4"/>
        <w:top w:val="single" w:color="E6B9B8" w:themeColor="accent2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D99694" w:themeColor="accent2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D99694" w:themeColor="accent2" w:themeTint="99" w:sz="2"/>
        </w:tcBorders>
      </w:tcPr>
    </w:tblStylePr>
  </w:style>
  <w:style w:styleId="PO47" w:type="table">
    <w:name w:val="Grid Table 1 Light Accent 3"/>
    <w:basedOn w:val="PO3"/>
    <w:uiPriority w:val="46"/>
    <w:pPr>
      <w:spacing w:lineRule="auto" w:line="240" w:after="0"/>
      <w:rPr/>
    </w:pPr>
    <w:rPr>
      <w:shd w:val="clear" w:color="auto" w:fill="auto"/>
    </w:rPr>
    <w:tblPr>
      <w:tblBorders>
        <w:bottom w:val="single" w:color="D7E4BD" w:themeColor="accent3" w:themeTint="66" w:sz="4"/>
        <w:insideH w:val="single" w:color="D7E4BD" w:themeColor="accent3" w:themeTint="66" w:sz="4"/>
        <w:insideV w:val="single" w:color="D7E4BD" w:themeColor="accent3" w:themeTint="66" w:sz="4"/>
        <w:left w:val="single" w:color="D7E4BD" w:themeColor="accent3" w:themeTint="66" w:sz="4"/>
        <w:right w:val="single" w:color="D7E4BD" w:themeColor="accent3" w:themeTint="66" w:sz="4"/>
        <w:top w:val="single" w:color="D7E4BD" w:themeColor="accent3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C3D69B" w:themeColor="accent3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C3D69B" w:themeColor="accent3" w:themeTint="99" w:sz="2"/>
        </w:tcBorders>
      </w:tcPr>
    </w:tblStylePr>
  </w:style>
  <w:style w:styleId="PO48" w:type="table">
    <w:name w:val="Grid Table 1 Light Accent 4"/>
    <w:basedOn w:val="PO3"/>
    <w:uiPriority w:val="46"/>
    <w:pPr>
      <w:spacing w:lineRule="auto" w:line="240" w:after="0"/>
      <w:rPr/>
    </w:pPr>
    <w:rPr>
      <w:shd w:val="clear" w:color="auto" w:fill="auto"/>
    </w:rPr>
    <w:tblPr>
      <w:tblBorders>
        <w:bottom w:val="single" w:color="CCC1DA" w:themeColor="accent4" w:themeTint="66" w:sz="4"/>
        <w:insideH w:val="single" w:color="CCC1DA" w:themeColor="accent4" w:themeTint="66" w:sz="4"/>
        <w:insideV w:val="single" w:color="CCC1DA" w:themeColor="accent4" w:themeTint="66" w:sz="4"/>
        <w:left w:val="single" w:color="CCC1DA" w:themeColor="accent4" w:themeTint="66" w:sz="4"/>
        <w:right w:val="single" w:color="CCC1DA" w:themeColor="accent4" w:themeTint="66" w:sz="4"/>
        <w:top w:val="single" w:color="CCC1DA" w:themeColor="accent4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B3A2C7" w:themeColor="accent4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B3A2C7" w:themeColor="accent4" w:themeTint="99" w:sz="2"/>
        </w:tcBorders>
      </w:tcPr>
    </w:tblStylePr>
  </w:style>
  <w:style w:styleId="PO49" w:type="table">
    <w:name w:val="Grid Table 1 Light Accent 5"/>
    <w:basedOn w:val="PO3"/>
    <w:uiPriority w:val="46"/>
    <w:pPr>
      <w:spacing w:lineRule="auto" w:line="240" w:after="0"/>
      <w:rPr/>
    </w:pPr>
    <w:rPr>
      <w:shd w:val="clear" w:color="auto" w:fill="auto"/>
    </w:rPr>
    <w:tblPr>
      <w:tblBorders>
        <w:bottom w:val="single" w:color="B7DEE8" w:themeColor="accent5" w:themeTint="66" w:sz="4"/>
        <w:insideH w:val="single" w:color="B7DEE8" w:themeColor="accent5" w:themeTint="66" w:sz="4"/>
        <w:insideV w:val="single" w:color="B7DEE8" w:themeColor="accent5" w:themeTint="66" w:sz="4"/>
        <w:left w:val="single" w:color="B7DEE8" w:themeColor="accent5" w:themeTint="66" w:sz="4"/>
        <w:right w:val="single" w:color="B7DEE8" w:themeColor="accent5" w:themeTint="66" w:sz="4"/>
        <w:top w:val="single" w:color="B7DEE8" w:themeColor="accent5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93CDDD" w:themeColor="accent5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93CDDD" w:themeColor="accent5" w:themeTint="99" w:sz="2"/>
        </w:tcBorders>
      </w:tcPr>
    </w:tblStylePr>
  </w:style>
  <w:style w:styleId="PO50" w:type="table">
    <w:name w:val="Grid Table 1 Light Accent 6"/>
    <w:basedOn w:val="PO3"/>
    <w:uiPriority w:val="46"/>
    <w:pPr>
      <w:spacing w:lineRule="auto" w:line="240" w:after="0"/>
      <w:rPr/>
    </w:pPr>
    <w:rPr>
      <w:shd w:val="clear" w:color="auto" w:fill="auto"/>
    </w:rPr>
    <w:tblPr>
      <w:tblBorders>
        <w:bottom w:val="single" w:color="FCD5B5" w:themeColor="accent6" w:themeTint="66" w:sz="4"/>
        <w:insideH w:val="single" w:color="FCD5B5" w:themeColor="accent6" w:themeTint="66" w:sz="4"/>
        <w:insideV w:val="single" w:color="FCD5B5" w:themeColor="accent6" w:themeTint="66" w:sz="4"/>
        <w:left w:val="single" w:color="FCD5B5" w:themeColor="accent6" w:themeTint="66" w:sz="4"/>
        <w:right w:val="single" w:color="FCD5B5" w:themeColor="accent6" w:themeTint="66" w:sz="4"/>
        <w:top w:val="single" w:color="FCD5B5" w:themeColor="accent6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FAC090" w:themeColor="accent6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FAC090" w:themeColor="accent6" w:themeTint="99" w:sz="2"/>
        </w:tcBorders>
      </w:tcPr>
    </w:tblStylePr>
  </w:style>
  <w:style w:styleId="PO51" w:type="table">
    <w:name w:val="Grid Table 2"/>
    <w:basedOn w:val="PO3"/>
    <w:uiPriority w:val="47"/>
    <w:pPr>
      <w:spacing w:lineRule="auto" w:line="240" w:after="0"/>
      <w:rPr/>
    </w:pPr>
    <w:rPr>
      <w:shd w:val="clear" w:color="auto" w:fill="auto"/>
    </w:rPr>
    <w:tblPr>
      <w:tblBorders>
        <w:bottom w:val="single" w:color="666666" w:themeColor="text1" w:themeTint="99" w:sz="2"/>
        <w:insideH w:val="single" w:color="666666" w:themeColor="text1" w:themeTint="99" w:sz="2"/>
        <w:insideV w:val="single" w:color="666666" w:themeColor="text1" w:themeTint="99" w:sz="2"/>
        <w:top w:val="single" w:color="666666" w:themeColor="text1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000000" w:val="clear"/>
      </w:tcPr>
    </w:tblStylePr>
    <w:tblStylePr w:type="band1Vert"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bottom w:val="single" w:color="666666" w:themeColor="text1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top w:val="double" w:color="666666" w:themeColor="text1" w:themeTint="99" w:sz="2"/>
        </w:tcBorders>
      </w:tcPr>
    </w:tblStylePr>
  </w:style>
  <w:style w:styleId="PO52" w:type="table">
    <w:name w:val="Grid Table 2 Accent 1"/>
    <w:basedOn w:val="PO3"/>
    <w:uiPriority w:val="47"/>
    <w:pPr>
      <w:spacing w:lineRule="auto" w:line="240" w:after="0"/>
      <w:rPr/>
    </w:pPr>
    <w:rPr>
      <w:shd w:val="clear" w:color="auto" w:fill="auto"/>
    </w:rPr>
    <w:tblPr>
      <w:tblBorders>
        <w:bottom w:val="single" w:color="95B3D7" w:themeColor="accent1" w:themeTint="99" w:sz="2"/>
        <w:insideH w:val="single" w:color="95B3D7" w:themeColor="accent1" w:themeTint="99" w:sz="2"/>
        <w:insideV w:val="single" w:color="95B3D7" w:themeColor="accent1" w:themeTint="99" w:sz="2"/>
        <w:top w:val="single" w:color="95B3D7" w:themeColor="accent1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000000" w:val="clear"/>
      </w:tcPr>
    </w:tblStylePr>
    <w:tblStylePr w:type="band1Vert">
      <w:tcPr>
        <w:shd w:fill="DCE6F2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bottom w:val="single" w:color="95B3D7" w:themeColor="accent1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top w:val="double" w:color="95B3D7" w:themeColor="accent1" w:themeTint="99" w:sz="2"/>
        </w:tcBorders>
      </w:tcPr>
    </w:tblStylePr>
  </w:style>
  <w:style w:styleId="PO53" w:type="table">
    <w:name w:val="Grid Table 2 Accent 2"/>
    <w:basedOn w:val="PO3"/>
    <w:uiPriority w:val="47"/>
    <w:pPr>
      <w:spacing w:lineRule="auto" w:line="240" w:after="0"/>
      <w:rPr/>
    </w:pPr>
    <w:rPr>
      <w:shd w:val="clear" w:color="auto" w:fill="auto"/>
    </w:rPr>
    <w:tblPr>
      <w:tblBorders>
        <w:bottom w:val="single" w:color="D99694" w:themeColor="accent2" w:themeTint="99" w:sz="2"/>
        <w:insideH w:val="single" w:color="D99694" w:themeColor="accent2" w:themeTint="99" w:sz="2"/>
        <w:insideV w:val="single" w:color="D99694" w:themeColor="accent2" w:themeTint="99" w:sz="2"/>
        <w:top w:val="single" w:color="D99694" w:themeColor="accent2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000000" w:val="clear"/>
      </w:tcPr>
    </w:tblStylePr>
    <w:tblStylePr w:type="band1Vert">
      <w:tcPr>
        <w:shd w:fill="F2DCDB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bottom w:val="single" w:color="D99694" w:themeColor="accent2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top w:val="double" w:color="D99694" w:themeColor="accent2" w:themeTint="99" w:sz="2"/>
        </w:tcBorders>
      </w:tcPr>
    </w:tblStylePr>
  </w:style>
  <w:style w:styleId="PO54" w:type="table">
    <w:name w:val="Grid Table 2 Accent 3"/>
    <w:basedOn w:val="PO3"/>
    <w:uiPriority w:val="47"/>
    <w:pPr>
      <w:spacing w:lineRule="auto" w:line="240" w:after="0"/>
      <w:rPr/>
    </w:pPr>
    <w:rPr>
      <w:shd w:val="clear" w:color="auto" w:fill="auto"/>
    </w:rPr>
    <w:tblPr>
      <w:tblBorders>
        <w:bottom w:val="single" w:color="C3D69B" w:themeColor="accent3" w:themeTint="99" w:sz="2"/>
        <w:insideH w:val="single" w:color="C3D69B" w:themeColor="accent3" w:themeTint="99" w:sz="2"/>
        <w:insideV w:val="single" w:color="C3D69B" w:themeColor="accent3" w:themeTint="99" w:sz="2"/>
        <w:top w:val="single" w:color="C3D69B" w:themeColor="accent3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000000" w:val="clear"/>
      </w:tcPr>
    </w:tblStylePr>
    <w:tblStylePr w:type="band1Vert">
      <w:tcPr>
        <w:shd w:fill="EBF1DE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bottom w:val="single" w:color="C3D69B" w:themeColor="accent3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top w:val="double" w:color="C3D69B" w:themeColor="accent3" w:themeTint="99" w:sz="2"/>
        </w:tcBorders>
      </w:tcPr>
    </w:tblStylePr>
  </w:style>
  <w:style w:styleId="PO55" w:type="table">
    <w:name w:val="Grid Table 2 Accent 4"/>
    <w:basedOn w:val="PO3"/>
    <w:uiPriority w:val="47"/>
    <w:pPr>
      <w:spacing w:lineRule="auto" w:line="240" w:after="0"/>
      <w:rPr/>
    </w:pPr>
    <w:rPr>
      <w:shd w:val="clear" w:color="auto" w:fill="auto"/>
    </w:rPr>
    <w:tblPr>
      <w:tblBorders>
        <w:bottom w:val="single" w:color="B3A2C7" w:themeColor="accent4" w:themeTint="99" w:sz="2"/>
        <w:insideH w:val="single" w:color="B3A2C7" w:themeColor="accent4" w:themeTint="99" w:sz="2"/>
        <w:insideV w:val="single" w:color="B3A2C7" w:themeColor="accent4" w:themeTint="99" w:sz="2"/>
        <w:top w:val="single" w:color="B3A2C7" w:themeColor="accent4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000000" w:val="clear"/>
      </w:tcPr>
    </w:tblStylePr>
    <w:tblStylePr w:type="band1Vert">
      <w:tcPr>
        <w:shd w:fill="E6E0E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bottom w:val="single" w:color="B3A2C7" w:themeColor="accent4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top w:val="double" w:color="B3A2C7" w:themeColor="accent4" w:themeTint="99" w:sz="2"/>
        </w:tcBorders>
      </w:tcPr>
    </w:tblStylePr>
  </w:style>
  <w:style w:styleId="PO56" w:type="table">
    <w:name w:val="Grid Table 2 Accent 5"/>
    <w:basedOn w:val="PO3"/>
    <w:uiPriority w:val="47"/>
    <w:pPr>
      <w:spacing w:lineRule="auto" w:line="240" w:after="0"/>
      <w:rPr/>
    </w:pPr>
    <w:rPr>
      <w:shd w:val="clear" w:color="auto" w:fill="auto"/>
    </w:rPr>
    <w:tblPr>
      <w:tblBorders>
        <w:bottom w:val="single" w:color="93CDDD" w:themeColor="accent5" w:themeTint="99" w:sz="2"/>
        <w:insideH w:val="single" w:color="93CDDD" w:themeColor="accent5" w:themeTint="99" w:sz="2"/>
        <w:insideV w:val="single" w:color="93CDDD" w:themeColor="accent5" w:themeTint="99" w:sz="2"/>
        <w:top w:val="single" w:color="93CDDD" w:themeColor="accent5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000000" w:val="clear"/>
      </w:tcPr>
    </w:tblStylePr>
    <w:tblStylePr w:type="band1Vert">
      <w:tcPr>
        <w:shd w:fill="DBEEF4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bottom w:val="single" w:color="93CDDD" w:themeColor="accent5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top w:val="double" w:color="93CDDD" w:themeColor="accent5" w:themeTint="99" w:sz="2"/>
        </w:tcBorders>
      </w:tcPr>
    </w:tblStylePr>
  </w:style>
  <w:style w:styleId="PO57" w:type="table">
    <w:name w:val="Grid Table 2 Accent 6"/>
    <w:basedOn w:val="PO3"/>
    <w:uiPriority w:val="47"/>
    <w:pPr>
      <w:spacing w:lineRule="auto" w:line="240" w:after="0"/>
      <w:rPr/>
    </w:pPr>
    <w:rPr>
      <w:shd w:val="clear" w:color="auto" w:fill="auto"/>
    </w:rPr>
    <w:tblPr>
      <w:tblBorders>
        <w:bottom w:val="single" w:color="FAC090" w:themeColor="accent6" w:themeTint="99" w:sz="2"/>
        <w:insideH w:val="single" w:color="FAC090" w:themeColor="accent6" w:themeTint="99" w:sz="2"/>
        <w:insideV w:val="single" w:color="FAC090" w:themeColor="accent6" w:themeTint="99" w:sz="2"/>
        <w:top w:val="single" w:color="FAC090" w:themeColor="accent6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000000" w:val="clear"/>
      </w:tcPr>
    </w:tblStylePr>
    <w:tblStylePr w:type="band1Vert">
      <w:tcPr>
        <w:shd w:fill="FDEADA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bottom w:val="single" w:color="FAC090" w:themeColor="accent6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top w:val="double" w:color="FAC090" w:themeColor="accent6" w:themeTint="99" w:sz="2"/>
        </w:tcBorders>
      </w:tcPr>
    </w:tblStylePr>
  </w:style>
  <w:style w:styleId="PO58" w:type="table">
    <w:name w:val="Grid Table 3"/>
    <w:basedOn w:val="PO3"/>
    <w:uiPriority w:val="48"/>
    <w:pPr>
      <w:spacing w:lineRule="auto" w:line="240" w:after="0"/>
      <w:rPr/>
    </w:pPr>
    <w:rPr>
      <w:shd w:val="clear" w:color="auto" w:fill="auto"/>
    </w:r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000000" w:val="clear"/>
      </w:tcPr>
    </w:tblStylePr>
    <w:tblStylePr w:type="band1Vert">
      <w:tcPr>
        <w:shd w:fill="CCCCCC" w:themeFill="text1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666666" w:themeColor="text1" w:themeTint="99" w:sz="4"/>
        </w:tcBorders>
      </w:tcPr>
    </w:tblStylePr>
    <w:tblStylePr w:type="nwCell">
      <w:tcPr>
        <w:tcBorders>
          <w:bottom w:val="single" w:color="666666" w:themeColor="text1" w:themeTint="99" w:sz="4"/>
        </w:tcBorders>
      </w:tcPr>
    </w:tblStylePr>
    <w:tblStylePr w:type="seCell">
      <w:tcPr>
        <w:tcBorders>
          <w:top w:val="single" w:color="666666" w:themeColor="text1" w:themeTint="99" w:sz="4"/>
        </w:tcBorders>
      </w:tcPr>
    </w:tblStylePr>
    <w:tblStylePr w:type="swCell">
      <w:tcPr>
        <w:tcBorders>
          <w:top w:val="single" w:color="666666" w:themeColor="text1" w:themeTint="99" w:sz="4"/>
        </w:tcBorders>
      </w:tcPr>
    </w:tblStylePr>
  </w:style>
  <w:style w:styleId="PO59" w:type="table">
    <w:name w:val="Grid Table 3 Accent 1"/>
    <w:basedOn w:val="PO3"/>
    <w:uiPriority w:val="48"/>
    <w:pPr>
      <w:spacing w:lineRule="auto" w:line="240" w:after="0"/>
      <w:rPr/>
    </w:pPr>
    <w:rPr>
      <w:shd w:val="clear" w:color="auto" w:fill="auto"/>
    </w:rPr>
    <w:tblPr>
      <w:tblBorders>
        <w:bottom w:val="single" w:color="95B3D7" w:themeColor="accent1" w:themeTint="99" w:sz="4"/>
        <w:insideH w:val="single" w:color="95B3D7" w:themeColor="accent1" w:themeTint="99" w:sz="4"/>
        <w:insideV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000000" w:val="clear"/>
      </w:tcPr>
    </w:tblStylePr>
    <w:tblStylePr w:type="band1Vert">
      <w:tcPr>
        <w:shd w:fill="DCE6F2" w:themeFill="accent1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95B3D7" w:themeColor="accent1" w:themeTint="99" w:sz="4"/>
        </w:tcBorders>
      </w:tcPr>
    </w:tblStylePr>
    <w:tblStylePr w:type="nwCell">
      <w:tcPr>
        <w:tcBorders>
          <w:bottom w:val="single" w:color="95B3D7" w:themeColor="accent1" w:themeTint="99" w:sz="4"/>
        </w:tcBorders>
      </w:tcPr>
    </w:tblStylePr>
    <w:tblStylePr w:type="seCell">
      <w:tcPr>
        <w:tcBorders>
          <w:top w:val="single" w:color="95B3D7" w:themeColor="accent1" w:themeTint="99" w:sz="4"/>
        </w:tcBorders>
      </w:tcPr>
    </w:tblStylePr>
    <w:tblStylePr w:type="swCell">
      <w:tcPr>
        <w:tcBorders>
          <w:top w:val="single" w:color="95B3D7" w:themeColor="accent1" w:themeTint="99" w:sz="4"/>
        </w:tcBorders>
      </w:tcPr>
    </w:tblStylePr>
  </w:style>
  <w:style w:styleId="PO60" w:type="table">
    <w:name w:val="Grid Table 3 Accent 2"/>
    <w:basedOn w:val="PO3"/>
    <w:uiPriority w:val="48"/>
    <w:pPr>
      <w:spacing w:lineRule="auto" w:line="240" w:after="0"/>
      <w:rPr/>
    </w:pPr>
    <w:rPr>
      <w:shd w:val="clear" w:color="auto" w:fill="auto"/>
    </w:rPr>
    <w:tblPr>
      <w:tblBorders>
        <w:bottom w:val="single" w:color="D99694" w:themeColor="accent2" w:themeTint="99" w:sz="4"/>
        <w:insideH w:val="single" w:color="D99694" w:themeColor="accent2" w:themeTint="99" w:sz="4"/>
        <w:insideV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000000" w:val="clear"/>
      </w:tcPr>
    </w:tblStylePr>
    <w:tblStylePr w:type="band1Vert">
      <w:tcPr>
        <w:shd w:fill="F2DCDB" w:themeFill="accent2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D99694" w:themeColor="accent2" w:themeTint="99" w:sz="4"/>
        </w:tcBorders>
      </w:tcPr>
    </w:tblStylePr>
    <w:tblStylePr w:type="nwCell">
      <w:tcPr>
        <w:tcBorders>
          <w:bottom w:val="single" w:color="D99694" w:themeColor="accent2" w:themeTint="99" w:sz="4"/>
        </w:tcBorders>
      </w:tcPr>
    </w:tblStylePr>
    <w:tblStylePr w:type="seCell">
      <w:tcPr>
        <w:tcBorders>
          <w:top w:val="single" w:color="D99694" w:themeColor="accent2" w:themeTint="99" w:sz="4"/>
        </w:tcBorders>
      </w:tcPr>
    </w:tblStylePr>
    <w:tblStylePr w:type="swCell">
      <w:tcPr>
        <w:tcBorders>
          <w:top w:val="single" w:color="D99694" w:themeColor="accent2" w:themeTint="99" w:sz="4"/>
        </w:tcBorders>
      </w:tcPr>
    </w:tblStylePr>
  </w:style>
  <w:style w:styleId="PO61" w:type="table">
    <w:name w:val="Grid Table 3 Accent 3"/>
    <w:basedOn w:val="PO3"/>
    <w:uiPriority w:val="48"/>
    <w:pPr>
      <w:spacing w:lineRule="auto" w:line="240" w:after="0"/>
      <w:rPr/>
    </w:pPr>
    <w:rPr>
      <w:shd w:val="clear" w:color="auto" w:fill="auto"/>
    </w:rPr>
    <w:tblPr>
      <w:tblBorders>
        <w:bottom w:val="single" w:color="C3D69B" w:themeColor="accent3" w:themeTint="99" w:sz="4"/>
        <w:insideH w:val="single" w:color="C3D69B" w:themeColor="accent3" w:themeTint="99" w:sz="4"/>
        <w:insideV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000000" w:val="clear"/>
      </w:tcPr>
    </w:tblStylePr>
    <w:tblStylePr w:type="band1Vert">
      <w:tcPr>
        <w:shd w:fill="EBF1DE" w:themeFill="accent3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C3D69B" w:themeColor="accent3" w:themeTint="99" w:sz="4"/>
        </w:tcBorders>
      </w:tcPr>
    </w:tblStylePr>
    <w:tblStylePr w:type="nwCell">
      <w:tcPr>
        <w:tcBorders>
          <w:bottom w:val="single" w:color="C3D69B" w:themeColor="accent3" w:themeTint="99" w:sz="4"/>
        </w:tcBorders>
      </w:tcPr>
    </w:tblStylePr>
    <w:tblStylePr w:type="seCell">
      <w:tcPr>
        <w:tcBorders>
          <w:top w:val="single" w:color="C3D69B" w:themeColor="accent3" w:themeTint="99" w:sz="4"/>
        </w:tcBorders>
      </w:tcPr>
    </w:tblStylePr>
    <w:tblStylePr w:type="swCell">
      <w:tcPr>
        <w:tcBorders>
          <w:top w:val="single" w:color="C3D69B" w:themeColor="accent3" w:themeTint="99" w:sz="4"/>
        </w:tcBorders>
      </w:tcPr>
    </w:tblStylePr>
  </w:style>
  <w:style w:styleId="PO62" w:type="table">
    <w:name w:val="Grid Table 3 Accent 4"/>
    <w:basedOn w:val="PO3"/>
    <w:uiPriority w:val="48"/>
    <w:pPr>
      <w:spacing w:lineRule="auto" w:line="240" w:after="0"/>
      <w:rPr/>
    </w:pPr>
    <w:rPr>
      <w:shd w:val="clear" w:color="auto" w:fill="auto"/>
    </w:rPr>
    <w:tblPr>
      <w:tblBorders>
        <w:bottom w:val="single" w:color="B3A2C7" w:themeColor="accent4" w:themeTint="99" w:sz="4"/>
        <w:insideH w:val="single" w:color="B3A2C7" w:themeColor="accent4" w:themeTint="99" w:sz="4"/>
        <w:insideV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000000" w:val="clear"/>
      </w:tcPr>
    </w:tblStylePr>
    <w:tblStylePr w:type="band1Vert">
      <w:tcPr>
        <w:shd w:fill="E6E0EC" w:themeFill="accent4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B3A2C7" w:themeColor="accent4" w:themeTint="99" w:sz="4"/>
        </w:tcBorders>
      </w:tcPr>
    </w:tblStylePr>
    <w:tblStylePr w:type="nwCell">
      <w:tcPr>
        <w:tcBorders>
          <w:bottom w:val="single" w:color="B3A2C7" w:themeColor="accent4" w:themeTint="99" w:sz="4"/>
        </w:tcBorders>
      </w:tcPr>
    </w:tblStylePr>
    <w:tblStylePr w:type="seCell">
      <w:tcPr>
        <w:tcBorders>
          <w:top w:val="single" w:color="B3A2C7" w:themeColor="accent4" w:themeTint="99" w:sz="4"/>
        </w:tcBorders>
      </w:tcPr>
    </w:tblStylePr>
    <w:tblStylePr w:type="swCell">
      <w:tcPr>
        <w:tcBorders>
          <w:top w:val="single" w:color="B3A2C7" w:themeColor="accent4" w:themeTint="99" w:sz="4"/>
        </w:tcBorders>
      </w:tcPr>
    </w:tblStylePr>
  </w:style>
  <w:style w:styleId="PO63" w:type="table">
    <w:name w:val="Grid Table 3 Accent 5"/>
    <w:basedOn w:val="PO3"/>
    <w:uiPriority w:val="48"/>
    <w:pPr>
      <w:spacing w:lineRule="auto" w:line="240" w:after="0"/>
      <w:rPr/>
    </w:pPr>
    <w:rPr>
      <w:shd w:val="clear" w:color="auto" w:fill="auto"/>
    </w:rPr>
    <w:tblPr>
      <w:tblBorders>
        <w:bottom w:val="single" w:color="93CDDD" w:themeColor="accent5" w:themeTint="99" w:sz="4"/>
        <w:insideH w:val="single" w:color="93CDDD" w:themeColor="accent5" w:themeTint="99" w:sz="4"/>
        <w:insideV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000000" w:val="clear"/>
      </w:tcPr>
    </w:tblStylePr>
    <w:tblStylePr w:type="band1Vert">
      <w:tcPr>
        <w:shd w:fill="DBEEF4" w:themeFill="accent5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93CDDD" w:themeColor="accent5" w:themeTint="99" w:sz="4"/>
        </w:tcBorders>
      </w:tcPr>
    </w:tblStylePr>
    <w:tblStylePr w:type="nwCell">
      <w:tcPr>
        <w:tcBorders>
          <w:bottom w:val="single" w:color="93CDDD" w:themeColor="accent5" w:themeTint="99" w:sz="4"/>
        </w:tcBorders>
      </w:tcPr>
    </w:tblStylePr>
    <w:tblStylePr w:type="seCell">
      <w:tcPr>
        <w:tcBorders>
          <w:top w:val="single" w:color="93CDDD" w:themeColor="accent5" w:themeTint="99" w:sz="4"/>
        </w:tcBorders>
      </w:tcPr>
    </w:tblStylePr>
    <w:tblStylePr w:type="swCell">
      <w:tcPr>
        <w:tcBorders>
          <w:top w:val="single" w:color="93CDDD" w:themeColor="accent5" w:themeTint="99" w:sz="4"/>
        </w:tcBorders>
      </w:tcPr>
    </w:tblStylePr>
  </w:style>
  <w:style w:styleId="PO64" w:type="table">
    <w:name w:val="Grid Table 3 Accent 6"/>
    <w:basedOn w:val="PO3"/>
    <w:uiPriority w:val="48"/>
    <w:pPr>
      <w:spacing w:lineRule="auto" w:line="240" w:after="0"/>
      <w:rPr/>
    </w:pPr>
    <w:rPr>
      <w:shd w:val="clear" w:color="auto" w:fill="auto"/>
    </w:rPr>
    <w:tblPr>
      <w:tblBorders>
        <w:bottom w:val="single" w:color="FAC090" w:themeColor="accent6" w:themeTint="99" w:sz="4"/>
        <w:insideH w:val="single" w:color="FAC090" w:themeColor="accent6" w:themeTint="99" w:sz="4"/>
        <w:insideV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000000" w:val="clear"/>
      </w:tcPr>
    </w:tblStylePr>
    <w:tblStylePr w:type="band1Vert">
      <w:tcPr>
        <w:shd w:fill="FDEADA" w:themeFill="accent6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FAC090" w:themeColor="accent6" w:themeTint="99" w:sz="4"/>
        </w:tcBorders>
      </w:tcPr>
    </w:tblStylePr>
    <w:tblStylePr w:type="nwCell">
      <w:tcPr>
        <w:tcBorders>
          <w:bottom w:val="single" w:color="FAC090" w:themeColor="accent6" w:themeTint="99" w:sz="4"/>
        </w:tcBorders>
      </w:tcPr>
    </w:tblStylePr>
    <w:tblStylePr w:type="seCell">
      <w:tcPr>
        <w:tcBorders>
          <w:top w:val="single" w:color="FAC090" w:themeColor="accent6" w:themeTint="99" w:sz="4"/>
        </w:tcBorders>
      </w:tcPr>
    </w:tblStylePr>
    <w:tblStylePr w:type="swCell">
      <w:tcPr>
        <w:tcBorders>
          <w:top w:val="single" w:color="FAC090" w:themeColor="accent6" w:themeTint="99" w:sz="4"/>
        </w:tcBorders>
      </w:tcPr>
    </w:tblStylePr>
  </w:style>
  <w:style w:styleId="PO65" w:type="table">
    <w:name w:val="Grid Table 4"/>
    <w:basedOn w:val="PO3"/>
    <w:uiPriority w:val="49"/>
    <w:pPr>
      <w:spacing w:lineRule="auto" w:line="240" w:after="0"/>
      <w:rPr/>
    </w:pPr>
    <w:rPr>
      <w:shd w:val="clear" w:color="auto" w:fill="auto"/>
    </w:r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000000" w:val="clear"/>
      </w:tcPr>
    </w:tblStylePr>
    <w:tblStylePr w:type="band1Vert"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cPr>
        <w:shd w:fill="000000" w:themeFill="text1" w:color="000000" w:val="clear"/>
        <w:tcBorders>
          <w:bottom w:val="single" w:color="000000" w:themeColor="text1" w:sz="4"/>
          <w:insideH w:val="nil"/>
          <w:insideV w:val="nil"/>
          <w:left w:val="single" w:color="000000" w:themeColor="text1" w:sz="4"/>
          <w:right w:val="single" w:color="000000" w:themeColor="text1" w:sz="4"/>
          <w:top w:val="single" w:color="000000" w:themeColor="text1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000000" w:themeColor="text1" w:sz="4"/>
        </w:tcBorders>
      </w:tcPr>
    </w:tblStylePr>
  </w:style>
  <w:style w:styleId="PO66" w:type="table">
    <w:name w:val="Grid Table 4 Accent 1"/>
    <w:basedOn w:val="PO3"/>
    <w:uiPriority w:val="49"/>
    <w:pPr>
      <w:spacing w:lineRule="auto" w:line="240" w:after="0"/>
      <w:rPr/>
    </w:pPr>
    <w:rPr>
      <w:shd w:val="clear" w:color="auto" w:fill="auto"/>
    </w:rPr>
    <w:tblPr>
      <w:tblBorders>
        <w:bottom w:val="single" w:color="95B3D7" w:themeColor="accent1" w:themeTint="99" w:sz="4"/>
        <w:insideH w:val="single" w:color="95B3D7" w:themeColor="accent1" w:themeTint="99" w:sz="4"/>
        <w:insideV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000000" w:val="clear"/>
      </w:tcPr>
    </w:tblStylePr>
    <w:tblStylePr w:type="band1Vert">
      <w:tcPr>
        <w:shd w:fill="DCE6F2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cPr>
        <w:shd w:fill="4F81BD" w:themeFill="accent1" w:color="000000" w:val="clear"/>
        <w:tcBorders>
          <w:bottom w:val="single" w:color="4F81BD" w:themeColor="accent1" w:sz="4"/>
          <w:insideH w:val="nil"/>
          <w:insideV w:val="nil"/>
          <w:left w:val="single" w:color="4F81BD" w:themeColor="accent1" w:sz="4"/>
          <w:right w:val="single" w:color="4F81BD" w:themeColor="accent1" w:sz="4"/>
          <w:top w:val="single" w:color="4F81BD" w:themeColor="accent1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4F81BD" w:themeColor="accent1" w:sz="4"/>
        </w:tcBorders>
      </w:tcPr>
    </w:tblStylePr>
  </w:style>
  <w:style w:styleId="PO67" w:type="table">
    <w:name w:val="Grid Table 4 Accent 2"/>
    <w:basedOn w:val="PO3"/>
    <w:uiPriority w:val="49"/>
    <w:pPr>
      <w:spacing w:lineRule="auto" w:line="240" w:after="0"/>
      <w:rPr/>
    </w:pPr>
    <w:rPr>
      <w:shd w:val="clear" w:color="auto" w:fill="auto"/>
    </w:rPr>
    <w:tblPr>
      <w:tblBorders>
        <w:bottom w:val="single" w:color="D99694" w:themeColor="accent2" w:themeTint="99" w:sz="4"/>
        <w:insideH w:val="single" w:color="D99694" w:themeColor="accent2" w:themeTint="99" w:sz="4"/>
        <w:insideV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000000" w:val="clear"/>
      </w:tcPr>
    </w:tblStylePr>
    <w:tblStylePr w:type="band1Vert">
      <w:tcPr>
        <w:shd w:fill="F2DCDB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cPr>
        <w:shd w:fill="C0504D" w:themeFill="accent2" w:color="000000" w:val="clear"/>
        <w:tcBorders>
          <w:bottom w:val="single" w:color="C0504D" w:themeColor="accent2" w:sz="4"/>
          <w:insideH w:val="nil"/>
          <w:insideV w:val="nil"/>
          <w:left w:val="single" w:color="C0504D" w:themeColor="accent2" w:sz="4"/>
          <w:right w:val="single" w:color="C0504D" w:themeColor="accent2" w:sz="4"/>
          <w:top w:val="single" w:color="C0504D" w:themeColor="accent2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C0504D" w:themeColor="accent2" w:sz="4"/>
        </w:tcBorders>
      </w:tcPr>
    </w:tblStylePr>
  </w:style>
  <w:style w:styleId="PO68" w:type="table">
    <w:name w:val="Grid Table 4 Accent 3"/>
    <w:basedOn w:val="PO3"/>
    <w:uiPriority w:val="49"/>
    <w:pPr>
      <w:spacing w:lineRule="auto" w:line="240" w:after="0"/>
      <w:rPr/>
    </w:pPr>
    <w:rPr>
      <w:shd w:val="clear" w:color="auto" w:fill="auto"/>
    </w:rPr>
    <w:tblPr>
      <w:tblBorders>
        <w:bottom w:val="single" w:color="C3D69B" w:themeColor="accent3" w:themeTint="99" w:sz="4"/>
        <w:insideH w:val="single" w:color="C3D69B" w:themeColor="accent3" w:themeTint="99" w:sz="4"/>
        <w:insideV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000000" w:val="clear"/>
      </w:tcPr>
    </w:tblStylePr>
    <w:tblStylePr w:type="band1Vert">
      <w:tcPr>
        <w:shd w:fill="EBF1DE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cPr>
        <w:shd w:fill="9BBB59" w:themeFill="accent3" w:color="000000" w:val="clear"/>
        <w:tcBorders>
          <w:bottom w:val="single" w:color="9BBB59" w:themeColor="accent3" w:sz="4"/>
          <w:insideH w:val="nil"/>
          <w:insideV w:val="nil"/>
          <w:left w:val="single" w:color="9BBB59" w:themeColor="accent3" w:sz="4"/>
          <w:right w:val="single" w:color="9BBB59" w:themeColor="accent3" w:sz="4"/>
          <w:top w:val="single" w:color="9BBB59" w:themeColor="accent3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9BBB59" w:themeColor="accent3" w:sz="4"/>
        </w:tcBorders>
      </w:tcPr>
    </w:tblStylePr>
  </w:style>
  <w:style w:styleId="PO69" w:type="table">
    <w:name w:val="Grid Table 4 Accent 4"/>
    <w:basedOn w:val="PO3"/>
    <w:uiPriority w:val="49"/>
    <w:pPr>
      <w:spacing w:lineRule="auto" w:line="240" w:after="0"/>
      <w:rPr/>
    </w:pPr>
    <w:rPr>
      <w:shd w:val="clear" w:color="auto" w:fill="auto"/>
    </w:rPr>
    <w:tblPr>
      <w:tblBorders>
        <w:bottom w:val="single" w:color="B3A2C7" w:themeColor="accent4" w:themeTint="99" w:sz="4"/>
        <w:insideH w:val="single" w:color="B3A2C7" w:themeColor="accent4" w:themeTint="99" w:sz="4"/>
        <w:insideV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000000" w:val="clear"/>
      </w:tcPr>
    </w:tblStylePr>
    <w:tblStylePr w:type="band1Vert">
      <w:tcPr>
        <w:shd w:fill="E6E0E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cPr>
        <w:shd w:fill="8064A2" w:themeFill="accent4" w:color="000000" w:val="clear"/>
        <w:tcBorders>
          <w:bottom w:val="single" w:color="8064A2" w:themeColor="accent4" w:sz="4"/>
          <w:insideH w:val="nil"/>
          <w:insideV w:val="nil"/>
          <w:left w:val="single" w:color="8064A2" w:themeColor="accent4" w:sz="4"/>
          <w:right w:val="single" w:color="8064A2" w:themeColor="accent4" w:sz="4"/>
          <w:top w:val="single" w:color="8064A2" w:themeColor="accent4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8064A2" w:themeColor="accent4" w:sz="4"/>
        </w:tcBorders>
      </w:tcPr>
    </w:tblStylePr>
  </w:style>
  <w:style w:styleId="PO70" w:type="table">
    <w:name w:val="Grid Table 4 Accent 5"/>
    <w:basedOn w:val="PO3"/>
    <w:uiPriority w:val="49"/>
    <w:pPr>
      <w:spacing w:lineRule="auto" w:line="240" w:after="0"/>
      <w:rPr/>
    </w:pPr>
    <w:rPr>
      <w:shd w:val="clear" w:color="auto" w:fill="auto"/>
    </w:rPr>
    <w:tblPr>
      <w:tblBorders>
        <w:bottom w:val="single" w:color="93CDDD" w:themeColor="accent5" w:themeTint="99" w:sz="4"/>
        <w:insideH w:val="single" w:color="93CDDD" w:themeColor="accent5" w:themeTint="99" w:sz="4"/>
        <w:insideV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000000" w:val="clear"/>
      </w:tcPr>
    </w:tblStylePr>
    <w:tblStylePr w:type="band1Vert">
      <w:tcPr>
        <w:shd w:fill="DBEEF4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cPr>
        <w:shd w:fill="4BACC6" w:themeFill="accent5" w:color="000000" w:val="clear"/>
        <w:tcBorders>
          <w:bottom w:val="single" w:color="4BACC6" w:themeColor="accent5" w:sz="4"/>
          <w:insideH w:val="nil"/>
          <w:insideV w:val="nil"/>
          <w:left w:val="single" w:color="4BACC6" w:themeColor="accent5" w:sz="4"/>
          <w:right w:val="single" w:color="4BACC6" w:themeColor="accent5" w:sz="4"/>
          <w:top w:val="single" w:color="4BACC6" w:themeColor="accent5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4BACC6" w:themeColor="accent5" w:sz="4"/>
        </w:tcBorders>
      </w:tcPr>
    </w:tblStylePr>
  </w:style>
  <w:style w:styleId="PO71" w:type="table">
    <w:name w:val="Grid Table 4 Accent 6"/>
    <w:basedOn w:val="PO3"/>
    <w:uiPriority w:val="49"/>
    <w:pPr>
      <w:spacing w:lineRule="auto" w:line="240" w:after="0"/>
      <w:rPr/>
    </w:pPr>
    <w:rPr>
      <w:shd w:val="clear" w:color="auto" w:fill="auto"/>
    </w:rPr>
    <w:tblPr>
      <w:tblBorders>
        <w:bottom w:val="single" w:color="FAC090" w:themeColor="accent6" w:themeTint="99" w:sz="4"/>
        <w:insideH w:val="single" w:color="FAC090" w:themeColor="accent6" w:themeTint="99" w:sz="4"/>
        <w:insideV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000000" w:val="clear"/>
      </w:tcPr>
    </w:tblStylePr>
    <w:tblStylePr w:type="band1Vert">
      <w:tcPr>
        <w:shd w:fill="FDEADA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cPr>
        <w:shd w:fill="F79646" w:themeFill="accent6" w:color="000000" w:val="clear"/>
        <w:tcBorders>
          <w:bottom w:val="single" w:color="F79646" w:themeColor="accent6" w:sz="4"/>
          <w:insideH w:val="nil"/>
          <w:insideV w:val="nil"/>
          <w:left w:val="single" w:color="F79646" w:themeColor="accent6" w:sz="4"/>
          <w:right w:val="single" w:color="F79646" w:themeColor="accent6" w:sz="4"/>
          <w:top w:val="single" w:color="F79646" w:themeColor="accent6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F79646" w:themeColor="accent6" w:sz="4"/>
        </w:tcBorders>
      </w:tcPr>
    </w:tblStylePr>
  </w:style>
  <w:style w:styleId="PO72" w:type="table">
    <w:name w:val="Grid Table 5 Dark"/>
    <w:basedOn w:val="PO3"/>
    <w:uiPriority w:val="50"/>
    <w:pPr>
      <w:spacing w:lineRule="auto" w:line="240" w:after="0"/>
      <w:rPr/>
    </w:pPr>
    <w:rPr>
      <w:shd w:val="clear" w:color="auto" w:fill="auto"/>
    </w:r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CCCCCC" w:themeFill="text1" w:themeFillTint="33" w:color="000000" w:val="clear"/>
    </w:tcPr>
    <w:tblStylePr w:type="band1Horz">
      <w:tcPr>
        <w:shd w:fill="999999" w:themeFill="text1" w:themeFillTint="66" w:color="000000" w:val="clear"/>
      </w:tcPr>
    </w:tblStylePr>
    <w:tblStylePr w:type="band1Vert">
      <w:tcPr>
        <w:shd w:fill="999999" w:themeFill="text1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cPr>
        <w:shd w:fill="000000" w:themeFill="text1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cPr>
        <w:shd w:fill="000000" w:themeFill="text1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cPr>
        <w:shd w:fill="000000" w:themeFill="text1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cPr>
        <w:shd w:fill="000000" w:themeFill="text1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3" w:type="table">
    <w:name w:val="Grid Table 5 Dark Accent 1"/>
    <w:basedOn w:val="PO3"/>
    <w:uiPriority w:val="50"/>
    <w:pPr>
      <w:spacing w:lineRule="auto" w:line="240" w:after="0"/>
      <w:rPr/>
    </w:pPr>
    <w:rPr>
      <w:shd w:val="clear" w:color="auto" w:fill="auto"/>
    </w:r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DCE6F2" w:themeFill="accent1" w:themeFillTint="33" w:color="000000" w:val="clear"/>
    </w:tcPr>
    <w:tblStylePr w:type="band1Horz">
      <w:tcPr>
        <w:shd w:fill="B9CDE5" w:themeFill="accent1" w:themeFillTint="66" w:color="000000" w:val="clear"/>
      </w:tcPr>
    </w:tblStylePr>
    <w:tblStylePr w:type="band1Vert">
      <w:tcPr>
        <w:shd w:fill="B9CDE5" w:themeFill="accent1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cPr>
        <w:shd w:fill="4F81BD" w:themeFill="accent1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cPr>
        <w:shd w:fill="4F81BD" w:themeFill="accent1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cPr>
        <w:shd w:fill="4F81BD" w:themeFill="accent1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cPr>
        <w:shd w:fill="4F81BD" w:themeFill="accent1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4" w:type="table">
    <w:name w:val="Grid Table 5 Dark Accent 2"/>
    <w:basedOn w:val="PO3"/>
    <w:uiPriority w:val="50"/>
    <w:pPr>
      <w:spacing w:lineRule="auto" w:line="240" w:after="0"/>
      <w:rPr/>
    </w:pPr>
    <w:rPr>
      <w:shd w:val="clear" w:color="auto" w:fill="auto"/>
    </w:r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F2DCDB" w:themeFill="accent2" w:themeFillTint="33" w:color="000000" w:val="clear"/>
    </w:tcPr>
    <w:tblStylePr w:type="band1Horz">
      <w:tcPr>
        <w:shd w:fill="E6B9B8" w:themeFill="accent2" w:themeFillTint="66" w:color="000000" w:val="clear"/>
      </w:tcPr>
    </w:tblStylePr>
    <w:tblStylePr w:type="band1Vert">
      <w:tcPr>
        <w:shd w:fill="E6B9B8" w:themeFill="accent2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cPr>
        <w:shd w:fill="C0504D" w:themeFill="accent2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cPr>
        <w:shd w:fill="C0504D" w:themeFill="accent2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cPr>
        <w:shd w:fill="C0504D" w:themeFill="accent2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cPr>
        <w:shd w:fill="C0504D" w:themeFill="accent2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5" w:type="table">
    <w:name w:val="Grid Table 5 Dark Accent 3"/>
    <w:basedOn w:val="PO3"/>
    <w:uiPriority w:val="50"/>
    <w:pPr>
      <w:spacing w:lineRule="auto" w:line="240" w:after="0"/>
      <w:rPr/>
    </w:pPr>
    <w:rPr>
      <w:shd w:val="clear" w:color="auto" w:fill="auto"/>
    </w:r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EBF1DE" w:themeFill="accent3" w:themeFillTint="33" w:color="000000" w:val="clear"/>
    </w:tcPr>
    <w:tblStylePr w:type="band1Horz">
      <w:tcPr>
        <w:shd w:fill="D7E4BD" w:themeFill="accent3" w:themeFillTint="66" w:color="000000" w:val="clear"/>
      </w:tcPr>
    </w:tblStylePr>
    <w:tblStylePr w:type="band1Vert">
      <w:tcPr>
        <w:shd w:fill="D7E4BD" w:themeFill="accent3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cPr>
        <w:shd w:fill="9BBB59" w:themeFill="accent3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cPr>
        <w:shd w:fill="9BBB59" w:themeFill="accent3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cPr>
        <w:shd w:fill="9BBB59" w:themeFill="accent3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cPr>
        <w:shd w:fill="9BBB59" w:themeFill="accent3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6" w:type="table">
    <w:name w:val="Grid Table 5 Dark Accent 4"/>
    <w:basedOn w:val="PO3"/>
    <w:uiPriority w:val="50"/>
    <w:pPr>
      <w:spacing w:lineRule="auto" w:line="240" w:after="0"/>
      <w:rPr/>
    </w:pPr>
    <w:rPr>
      <w:shd w:val="clear" w:color="auto" w:fill="auto"/>
    </w:r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E6E0EC" w:themeFill="accent4" w:themeFillTint="33" w:color="000000" w:val="clear"/>
    </w:tcPr>
    <w:tblStylePr w:type="band1Horz">
      <w:tcPr>
        <w:shd w:fill="CCC1DA" w:themeFill="accent4" w:themeFillTint="66" w:color="000000" w:val="clear"/>
      </w:tcPr>
    </w:tblStylePr>
    <w:tblStylePr w:type="band1Vert">
      <w:tcPr>
        <w:shd w:fill="CCC1DA" w:themeFill="accent4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cPr>
        <w:shd w:fill="8064A2" w:themeFill="accent4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cPr>
        <w:shd w:fill="8064A2" w:themeFill="accent4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cPr>
        <w:shd w:fill="8064A2" w:themeFill="accent4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cPr>
        <w:shd w:fill="8064A2" w:themeFill="accent4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7" w:type="table">
    <w:name w:val="Grid Table 5 Dark Accent 5"/>
    <w:basedOn w:val="PO3"/>
    <w:uiPriority w:val="50"/>
    <w:pPr>
      <w:spacing w:lineRule="auto" w:line="240" w:after="0"/>
      <w:rPr/>
    </w:pPr>
    <w:rPr>
      <w:shd w:val="clear" w:color="auto" w:fill="auto"/>
    </w:r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DBEEF4" w:themeFill="accent5" w:themeFillTint="33" w:color="000000" w:val="clear"/>
    </w:tcPr>
    <w:tblStylePr w:type="band1Horz">
      <w:tcPr>
        <w:shd w:fill="B7DEE8" w:themeFill="accent5" w:themeFillTint="66" w:color="000000" w:val="clear"/>
      </w:tcPr>
    </w:tblStylePr>
    <w:tblStylePr w:type="band1Vert">
      <w:tcPr>
        <w:shd w:fill="B7DEE8" w:themeFill="accent5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cPr>
        <w:shd w:fill="4BACC6" w:themeFill="accent5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cPr>
        <w:shd w:fill="4BACC6" w:themeFill="accent5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cPr>
        <w:shd w:fill="4BACC6" w:themeFill="accent5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cPr>
        <w:shd w:fill="4BACC6" w:themeFill="accent5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8" w:type="table">
    <w:name w:val="Grid Table 5 Dark Accent 6"/>
    <w:basedOn w:val="PO3"/>
    <w:uiPriority w:val="50"/>
    <w:pPr>
      <w:spacing w:lineRule="auto" w:line="240" w:after="0"/>
      <w:rPr/>
    </w:pPr>
    <w:rPr>
      <w:shd w:val="clear" w:color="auto" w:fill="auto"/>
    </w:r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FDEADA" w:themeFill="accent6" w:themeFillTint="33" w:color="000000" w:val="clear"/>
    </w:tcPr>
    <w:tblStylePr w:type="band1Horz">
      <w:tcPr>
        <w:shd w:fill="FCD5B5" w:themeFill="accent6" w:themeFillTint="66" w:color="000000" w:val="clear"/>
      </w:tcPr>
    </w:tblStylePr>
    <w:tblStylePr w:type="band1Vert">
      <w:tcPr>
        <w:shd w:fill="FCD5B5" w:themeFill="accent6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cPr>
        <w:shd w:fill="F79646" w:themeFill="accent6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cPr>
        <w:shd w:fill="F79646" w:themeFill="accent6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cPr>
        <w:shd w:fill="F79646" w:themeFill="accent6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cPr>
        <w:shd w:fill="F79646" w:themeFill="accent6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9" w:type="table">
    <w:name w:val="Grid Table 6 Colorful"/>
    <w:basedOn w:val="PO3"/>
    <w:uiPriority w:val="51"/>
    <w:pPr>
      <w:spacing w:lineRule="auto" w:line="240" w:after="0"/>
      <w:rPr/>
    </w:pPr>
    <w:rPr>
      <w:color w:val="000000" w:themeColor="text1" w:themeShade="BE"/>
      <w:shd w:val="clear" w:color="auto" w:fill="auto"/>
    </w:r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000000" w:val="clear"/>
      </w:tcPr>
    </w:tblStylePr>
    <w:tblStylePr w:type="band1Vert"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666666" w:themeColor="text1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666666" w:themeColor="text1" w:themeTint="99" w:sz="4"/>
        </w:tcBorders>
      </w:tcPr>
    </w:tblStylePr>
  </w:style>
  <w:style w:styleId="PO80" w:type="table">
    <w:name w:val="Grid Table 6 Colorful Accent 1"/>
    <w:basedOn w:val="PO3"/>
    <w:uiPriority w:val="51"/>
    <w:pPr>
      <w:spacing w:lineRule="auto" w:line="240" w:after="0"/>
      <w:rPr/>
    </w:pPr>
    <w:rPr>
      <w:color w:val="365F91" w:themeColor="accent1" w:themeShade="BE"/>
      <w:shd w:val="clear" w:color="auto" w:fill="auto"/>
    </w:rPr>
    <w:tblPr>
      <w:tblBorders>
        <w:bottom w:val="single" w:color="95B3D7" w:themeColor="accent1" w:themeTint="99" w:sz="4"/>
        <w:insideH w:val="single" w:color="95B3D7" w:themeColor="accent1" w:themeTint="99" w:sz="4"/>
        <w:insideV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000000" w:val="clear"/>
      </w:tcPr>
    </w:tblStylePr>
    <w:tblStylePr w:type="band1Vert">
      <w:tcPr>
        <w:shd w:fill="DCE6F2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95B3D7" w:themeColor="accent1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95B3D7" w:themeColor="accent1" w:themeTint="99" w:sz="4"/>
        </w:tcBorders>
      </w:tcPr>
    </w:tblStylePr>
  </w:style>
  <w:style w:styleId="PO81" w:type="table">
    <w:name w:val="Grid Table 6 Colorful Accent 2"/>
    <w:basedOn w:val="PO3"/>
    <w:uiPriority w:val="51"/>
    <w:pPr>
      <w:spacing w:lineRule="auto" w:line="240" w:after="0"/>
      <w:rPr/>
    </w:pPr>
    <w:rPr>
      <w:color w:val="943634" w:themeColor="accent2" w:themeShade="BE"/>
      <w:shd w:val="clear" w:color="auto" w:fill="auto"/>
    </w:rPr>
    <w:tblPr>
      <w:tblBorders>
        <w:bottom w:val="single" w:color="D99694" w:themeColor="accent2" w:themeTint="99" w:sz="4"/>
        <w:insideH w:val="single" w:color="D99694" w:themeColor="accent2" w:themeTint="99" w:sz="4"/>
        <w:insideV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000000" w:val="clear"/>
      </w:tcPr>
    </w:tblStylePr>
    <w:tblStylePr w:type="band1Vert">
      <w:tcPr>
        <w:shd w:fill="F2DCDB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D99694" w:themeColor="accent2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D99694" w:themeColor="accent2" w:themeTint="99" w:sz="4"/>
        </w:tcBorders>
      </w:tcPr>
    </w:tblStylePr>
  </w:style>
  <w:style w:styleId="PO82" w:type="table">
    <w:name w:val="Grid Table 6 Colorful Accent 3"/>
    <w:basedOn w:val="PO3"/>
    <w:uiPriority w:val="51"/>
    <w:pPr>
      <w:spacing w:lineRule="auto" w:line="240" w:after="0"/>
      <w:rPr/>
    </w:pPr>
    <w:rPr>
      <w:color w:val="75913B" w:themeColor="accent3" w:themeShade="BE"/>
      <w:shd w:val="clear" w:color="auto" w:fill="auto"/>
    </w:rPr>
    <w:tblPr>
      <w:tblBorders>
        <w:bottom w:val="single" w:color="C3D69B" w:themeColor="accent3" w:themeTint="99" w:sz="4"/>
        <w:insideH w:val="single" w:color="C3D69B" w:themeColor="accent3" w:themeTint="99" w:sz="4"/>
        <w:insideV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000000" w:val="clear"/>
      </w:tcPr>
    </w:tblStylePr>
    <w:tblStylePr w:type="band1Vert">
      <w:tcPr>
        <w:shd w:fill="EBF1DE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C3D69B" w:themeColor="accent3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C3D69B" w:themeColor="accent3" w:themeTint="99" w:sz="4"/>
        </w:tcBorders>
      </w:tcPr>
    </w:tblStylePr>
  </w:style>
  <w:style w:styleId="PO83" w:type="table">
    <w:name w:val="Grid Table 6 Colorful Accent 4"/>
    <w:basedOn w:val="PO3"/>
    <w:uiPriority w:val="51"/>
    <w:pPr>
      <w:spacing w:lineRule="auto" w:line="240" w:after="0"/>
      <w:rPr/>
    </w:pPr>
    <w:rPr>
      <w:color w:val="5F497A" w:themeColor="accent4" w:themeShade="BE"/>
      <w:shd w:val="clear" w:color="auto" w:fill="auto"/>
    </w:rPr>
    <w:tblPr>
      <w:tblBorders>
        <w:bottom w:val="single" w:color="B3A2C7" w:themeColor="accent4" w:themeTint="99" w:sz="4"/>
        <w:insideH w:val="single" w:color="B3A2C7" w:themeColor="accent4" w:themeTint="99" w:sz="4"/>
        <w:insideV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000000" w:val="clear"/>
      </w:tcPr>
    </w:tblStylePr>
    <w:tblStylePr w:type="band1Vert">
      <w:tcPr>
        <w:shd w:fill="E6E0E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B3A2C7" w:themeColor="accent4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B3A2C7" w:themeColor="accent4" w:themeTint="99" w:sz="4"/>
        </w:tcBorders>
      </w:tcPr>
    </w:tblStylePr>
  </w:style>
  <w:style w:styleId="PO84" w:type="table">
    <w:name w:val="Grid Table 6 Colorful Accent 5"/>
    <w:basedOn w:val="PO3"/>
    <w:uiPriority w:val="51"/>
    <w:pPr>
      <w:spacing w:lineRule="auto" w:line="240" w:after="0"/>
      <w:rPr/>
    </w:pPr>
    <w:rPr>
      <w:color w:val="30849A" w:themeColor="accent5" w:themeShade="BE"/>
      <w:shd w:val="clear" w:color="auto" w:fill="auto"/>
    </w:rPr>
    <w:tblPr>
      <w:tblBorders>
        <w:bottom w:val="single" w:color="93CDDD" w:themeColor="accent5" w:themeTint="99" w:sz="4"/>
        <w:insideH w:val="single" w:color="93CDDD" w:themeColor="accent5" w:themeTint="99" w:sz="4"/>
        <w:insideV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000000" w:val="clear"/>
      </w:tcPr>
    </w:tblStylePr>
    <w:tblStylePr w:type="band1Vert">
      <w:tcPr>
        <w:shd w:fill="DBEEF4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93CDDD" w:themeColor="accent5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93CDDD" w:themeColor="accent5" w:themeTint="99" w:sz="4"/>
        </w:tcBorders>
      </w:tcPr>
    </w:tblStylePr>
  </w:style>
  <w:style w:styleId="PO85" w:type="table">
    <w:name w:val="Grid Table 6 Colorful Accent 6"/>
    <w:basedOn w:val="PO3"/>
    <w:uiPriority w:val="51"/>
    <w:pPr>
      <w:spacing w:lineRule="auto" w:line="240" w:after="0"/>
      <w:rPr/>
    </w:pPr>
    <w:rPr>
      <w:color w:val="E26B09" w:themeColor="accent6" w:themeShade="BE"/>
      <w:shd w:val="clear" w:color="auto" w:fill="auto"/>
    </w:rPr>
    <w:tblPr>
      <w:tblBorders>
        <w:bottom w:val="single" w:color="FAC090" w:themeColor="accent6" w:themeTint="99" w:sz="4"/>
        <w:insideH w:val="single" w:color="FAC090" w:themeColor="accent6" w:themeTint="99" w:sz="4"/>
        <w:insideV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000000" w:val="clear"/>
      </w:tcPr>
    </w:tblStylePr>
    <w:tblStylePr w:type="band1Vert">
      <w:tcPr>
        <w:shd w:fill="FDEADA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FAC090" w:themeColor="accent6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FAC090" w:themeColor="accent6" w:themeTint="99" w:sz="4"/>
        </w:tcBorders>
      </w:tcPr>
    </w:tblStylePr>
  </w:style>
  <w:style w:styleId="PO86" w:type="table">
    <w:name w:val="Grid Table 7 Colorful"/>
    <w:basedOn w:val="PO3"/>
    <w:uiPriority w:val="52"/>
    <w:pPr>
      <w:spacing w:lineRule="auto" w:line="240" w:after="0"/>
      <w:rPr/>
    </w:pPr>
    <w:rPr>
      <w:color w:val="000000" w:themeColor="text1" w:themeShade="BE"/>
      <w:shd w:val="clear" w:color="auto" w:fill="auto"/>
    </w:r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000000" w:val="clear"/>
      </w:tcPr>
    </w:tblStylePr>
    <w:tblStylePr w:type="band1Vert">
      <w:tcPr>
        <w:shd w:fill="CCCCCC" w:themeFill="text1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666666" w:themeColor="text1" w:themeTint="99" w:sz="4"/>
        </w:tcBorders>
      </w:tcPr>
    </w:tblStylePr>
    <w:tblStylePr w:type="nwCell">
      <w:tcPr>
        <w:tcBorders>
          <w:bottom w:val="single" w:color="666666" w:themeColor="text1" w:themeTint="99" w:sz="4"/>
        </w:tcBorders>
      </w:tcPr>
    </w:tblStylePr>
    <w:tblStylePr w:type="seCell">
      <w:tcPr>
        <w:tcBorders>
          <w:top w:val="single" w:color="666666" w:themeColor="text1" w:themeTint="99" w:sz="4"/>
        </w:tcBorders>
      </w:tcPr>
    </w:tblStylePr>
    <w:tblStylePr w:type="swCell">
      <w:tcPr>
        <w:tcBorders>
          <w:top w:val="single" w:color="666666" w:themeColor="text1" w:themeTint="99" w:sz="4"/>
        </w:tcBorders>
      </w:tcPr>
    </w:tblStylePr>
  </w:style>
  <w:style w:styleId="PO87" w:type="table">
    <w:name w:val="Grid Table 7 Colorful Accent 1"/>
    <w:basedOn w:val="PO3"/>
    <w:uiPriority w:val="52"/>
    <w:pPr>
      <w:spacing w:lineRule="auto" w:line="240" w:after="0"/>
      <w:rPr/>
    </w:pPr>
    <w:rPr>
      <w:color w:val="365F91" w:themeColor="accent1" w:themeShade="BE"/>
      <w:shd w:val="clear" w:color="auto" w:fill="auto"/>
    </w:rPr>
    <w:tblPr>
      <w:tblBorders>
        <w:bottom w:val="single" w:color="95B3D7" w:themeColor="accent1" w:themeTint="99" w:sz="4"/>
        <w:insideH w:val="single" w:color="95B3D7" w:themeColor="accent1" w:themeTint="99" w:sz="4"/>
        <w:insideV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000000" w:val="clear"/>
      </w:tcPr>
    </w:tblStylePr>
    <w:tblStylePr w:type="band1Vert">
      <w:tcPr>
        <w:shd w:fill="DCE6F2" w:themeFill="accent1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95B3D7" w:themeColor="accent1" w:themeTint="99" w:sz="4"/>
        </w:tcBorders>
      </w:tcPr>
    </w:tblStylePr>
    <w:tblStylePr w:type="nwCell">
      <w:tcPr>
        <w:tcBorders>
          <w:bottom w:val="single" w:color="95B3D7" w:themeColor="accent1" w:themeTint="99" w:sz="4"/>
        </w:tcBorders>
      </w:tcPr>
    </w:tblStylePr>
    <w:tblStylePr w:type="seCell">
      <w:tcPr>
        <w:tcBorders>
          <w:top w:val="single" w:color="95B3D7" w:themeColor="accent1" w:themeTint="99" w:sz="4"/>
        </w:tcBorders>
      </w:tcPr>
    </w:tblStylePr>
    <w:tblStylePr w:type="swCell">
      <w:tcPr>
        <w:tcBorders>
          <w:top w:val="single" w:color="95B3D7" w:themeColor="accent1" w:themeTint="99" w:sz="4"/>
        </w:tcBorders>
      </w:tcPr>
    </w:tblStylePr>
  </w:style>
  <w:style w:styleId="PO88" w:type="table">
    <w:name w:val="Grid Table 7 Colorful Accent 2"/>
    <w:basedOn w:val="PO3"/>
    <w:uiPriority w:val="52"/>
    <w:pPr>
      <w:spacing w:lineRule="auto" w:line="240" w:after="0"/>
      <w:rPr/>
    </w:pPr>
    <w:rPr>
      <w:color w:val="943634" w:themeColor="accent2" w:themeShade="BE"/>
      <w:shd w:val="clear" w:color="auto" w:fill="auto"/>
    </w:rPr>
    <w:tblPr>
      <w:tblBorders>
        <w:bottom w:val="single" w:color="D99694" w:themeColor="accent2" w:themeTint="99" w:sz="4"/>
        <w:insideH w:val="single" w:color="D99694" w:themeColor="accent2" w:themeTint="99" w:sz="4"/>
        <w:insideV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000000" w:val="clear"/>
      </w:tcPr>
    </w:tblStylePr>
    <w:tblStylePr w:type="band1Vert">
      <w:tcPr>
        <w:shd w:fill="F2DCDB" w:themeFill="accent2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D99694" w:themeColor="accent2" w:themeTint="99" w:sz="4"/>
        </w:tcBorders>
      </w:tcPr>
    </w:tblStylePr>
    <w:tblStylePr w:type="nwCell">
      <w:tcPr>
        <w:tcBorders>
          <w:bottom w:val="single" w:color="D99694" w:themeColor="accent2" w:themeTint="99" w:sz="4"/>
        </w:tcBorders>
      </w:tcPr>
    </w:tblStylePr>
    <w:tblStylePr w:type="seCell">
      <w:tcPr>
        <w:tcBorders>
          <w:top w:val="single" w:color="D99694" w:themeColor="accent2" w:themeTint="99" w:sz="4"/>
        </w:tcBorders>
      </w:tcPr>
    </w:tblStylePr>
    <w:tblStylePr w:type="swCell">
      <w:tcPr>
        <w:tcBorders>
          <w:top w:val="single" w:color="D99694" w:themeColor="accent2" w:themeTint="99" w:sz="4"/>
        </w:tcBorders>
      </w:tcPr>
    </w:tblStylePr>
  </w:style>
  <w:style w:styleId="PO89" w:type="table">
    <w:name w:val="Grid Table 7 Colorful Accent 3"/>
    <w:basedOn w:val="PO3"/>
    <w:uiPriority w:val="52"/>
    <w:pPr>
      <w:spacing w:lineRule="auto" w:line="240" w:after="0"/>
      <w:rPr/>
    </w:pPr>
    <w:rPr>
      <w:color w:val="75913B" w:themeColor="accent3" w:themeShade="BE"/>
      <w:shd w:val="clear" w:color="auto" w:fill="auto"/>
    </w:rPr>
    <w:tblPr>
      <w:tblBorders>
        <w:bottom w:val="single" w:color="C3D69B" w:themeColor="accent3" w:themeTint="99" w:sz="4"/>
        <w:insideH w:val="single" w:color="C3D69B" w:themeColor="accent3" w:themeTint="99" w:sz="4"/>
        <w:insideV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000000" w:val="clear"/>
      </w:tcPr>
    </w:tblStylePr>
    <w:tblStylePr w:type="band1Vert">
      <w:tcPr>
        <w:shd w:fill="EBF1DE" w:themeFill="accent3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C3D69B" w:themeColor="accent3" w:themeTint="99" w:sz="4"/>
        </w:tcBorders>
      </w:tcPr>
    </w:tblStylePr>
    <w:tblStylePr w:type="nwCell">
      <w:tcPr>
        <w:tcBorders>
          <w:bottom w:val="single" w:color="C3D69B" w:themeColor="accent3" w:themeTint="99" w:sz="4"/>
        </w:tcBorders>
      </w:tcPr>
    </w:tblStylePr>
    <w:tblStylePr w:type="seCell">
      <w:tcPr>
        <w:tcBorders>
          <w:top w:val="single" w:color="C3D69B" w:themeColor="accent3" w:themeTint="99" w:sz="4"/>
        </w:tcBorders>
      </w:tcPr>
    </w:tblStylePr>
    <w:tblStylePr w:type="swCell">
      <w:tcPr>
        <w:tcBorders>
          <w:top w:val="single" w:color="C3D69B" w:themeColor="accent3" w:themeTint="99" w:sz="4"/>
        </w:tcBorders>
      </w:tcPr>
    </w:tblStylePr>
  </w:style>
  <w:style w:styleId="PO90" w:type="table">
    <w:name w:val="Grid Table 7 Colorful Accent 4"/>
    <w:basedOn w:val="PO3"/>
    <w:uiPriority w:val="52"/>
    <w:pPr>
      <w:spacing w:lineRule="auto" w:line="240" w:after="0"/>
      <w:rPr/>
    </w:pPr>
    <w:rPr>
      <w:color w:val="5F497A" w:themeColor="accent4" w:themeShade="BE"/>
      <w:shd w:val="clear" w:color="auto" w:fill="auto"/>
    </w:rPr>
    <w:tblPr>
      <w:tblBorders>
        <w:bottom w:val="single" w:color="B3A2C7" w:themeColor="accent4" w:themeTint="99" w:sz="4"/>
        <w:insideH w:val="single" w:color="B3A2C7" w:themeColor="accent4" w:themeTint="99" w:sz="4"/>
        <w:insideV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000000" w:val="clear"/>
      </w:tcPr>
    </w:tblStylePr>
    <w:tblStylePr w:type="band1Vert">
      <w:tcPr>
        <w:shd w:fill="E6E0EC" w:themeFill="accent4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B3A2C7" w:themeColor="accent4" w:themeTint="99" w:sz="4"/>
        </w:tcBorders>
      </w:tcPr>
    </w:tblStylePr>
    <w:tblStylePr w:type="nwCell">
      <w:tcPr>
        <w:tcBorders>
          <w:bottom w:val="single" w:color="B3A2C7" w:themeColor="accent4" w:themeTint="99" w:sz="4"/>
        </w:tcBorders>
      </w:tcPr>
    </w:tblStylePr>
    <w:tblStylePr w:type="seCell">
      <w:tcPr>
        <w:tcBorders>
          <w:top w:val="single" w:color="B3A2C7" w:themeColor="accent4" w:themeTint="99" w:sz="4"/>
        </w:tcBorders>
      </w:tcPr>
    </w:tblStylePr>
    <w:tblStylePr w:type="swCell">
      <w:tcPr>
        <w:tcBorders>
          <w:top w:val="single" w:color="B3A2C7" w:themeColor="accent4" w:themeTint="99" w:sz="4"/>
        </w:tcBorders>
      </w:tcPr>
    </w:tblStylePr>
  </w:style>
  <w:style w:styleId="PO91" w:type="table">
    <w:name w:val="Grid Table 7 Colorful Accent 5"/>
    <w:basedOn w:val="PO3"/>
    <w:uiPriority w:val="52"/>
    <w:pPr>
      <w:spacing w:lineRule="auto" w:line="240" w:after="0"/>
      <w:rPr/>
    </w:pPr>
    <w:rPr>
      <w:color w:val="30849A" w:themeColor="accent5" w:themeShade="BE"/>
      <w:shd w:val="clear" w:color="auto" w:fill="auto"/>
    </w:rPr>
    <w:tblPr>
      <w:tblBorders>
        <w:bottom w:val="single" w:color="93CDDD" w:themeColor="accent5" w:themeTint="99" w:sz="4"/>
        <w:insideH w:val="single" w:color="93CDDD" w:themeColor="accent5" w:themeTint="99" w:sz="4"/>
        <w:insideV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000000" w:val="clear"/>
      </w:tcPr>
    </w:tblStylePr>
    <w:tblStylePr w:type="band1Vert">
      <w:tcPr>
        <w:shd w:fill="DBEEF4" w:themeFill="accent5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93CDDD" w:themeColor="accent5" w:themeTint="99" w:sz="4"/>
        </w:tcBorders>
      </w:tcPr>
    </w:tblStylePr>
    <w:tblStylePr w:type="nwCell">
      <w:tcPr>
        <w:tcBorders>
          <w:bottom w:val="single" w:color="93CDDD" w:themeColor="accent5" w:themeTint="99" w:sz="4"/>
        </w:tcBorders>
      </w:tcPr>
    </w:tblStylePr>
    <w:tblStylePr w:type="seCell">
      <w:tcPr>
        <w:tcBorders>
          <w:top w:val="single" w:color="93CDDD" w:themeColor="accent5" w:themeTint="99" w:sz="4"/>
        </w:tcBorders>
      </w:tcPr>
    </w:tblStylePr>
    <w:tblStylePr w:type="swCell">
      <w:tcPr>
        <w:tcBorders>
          <w:top w:val="single" w:color="93CDDD" w:themeColor="accent5" w:themeTint="99" w:sz="4"/>
        </w:tcBorders>
      </w:tcPr>
    </w:tblStylePr>
  </w:style>
  <w:style w:styleId="PO92" w:type="table">
    <w:name w:val="Grid Table 7 Colorful Accent 6"/>
    <w:basedOn w:val="PO3"/>
    <w:uiPriority w:val="52"/>
    <w:pPr>
      <w:spacing w:lineRule="auto" w:line="240" w:after="0"/>
      <w:rPr/>
    </w:pPr>
    <w:rPr>
      <w:color w:val="E26B09" w:themeColor="accent6" w:themeShade="BE"/>
      <w:shd w:val="clear" w:color="auto" w:fill="auto"/>
    </w:rPr>
    <w:tblPr>
      <w:tblBorders>
        <w:bottom w:val="single" w:color="FAC090" w:themeColor="accent6" w:themeTint="99" w:sz="4"/>
        <w:insideH w:val="single" w:color="FAC090" w:themeColor="accent6" w:themeTint="99" w:sz="4"/>
        <w:insideV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000000" w:val="clear"/>
      </w:tcPr>
    </w:tblStylePr>
    <w:tblStylePr w:type="band1Vert">
      <w:tcPr>
        <w:shd w:fill="FDEADA" w:themeFill="accent6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FAC090" w:themeColor="accent6" w:themeTint="99" w:sz="4"/>
        </w:tcBorders>
      </w:tcPr>
    </w:tblStylePr>
    <w:tblStylePr w:type="nwCell">
      <w:tcPr>
        <w:tcBorders>
          <w:bottom w:val="single" w:color="FAC090" w:themeColor="accent6" w:themeTint="99" w:sz="4"/>
        </w:tcBorders>
      </w:tcPr>
    </w:tblStylePr>
    <w:tblStylePr w:type="seCell">
      <w:tcPr>
        <w:tcBorders>
          <w:top w:val="single" w:color="FAC090" w:themeColor="accent6" w:themeTint="99" w:sz="4"/>
        </w:tcBorders>
      </w:tcPr>
    </w:tblStylePr>
    <w:tblStylePr w:type="swCell">
      <w:tcPr>
        <w:tcBorders>
          <w:top w:val="single" w:color="FAC090" w:themeColor="accent6" w:themeTint="99" w:sz="4"/>
        </w:tcBorders>
      </w:tcPr>
    </w:tblStylePr>
  </w:style>
  <w:style w:styleId="PO93" w:type="table">
    <w:name w:val="List Table 1 Light"/>
    <w:basedOn w:val="PO3"/>
    <w:uiPriority w:val="46"/>
    <w:pPr>
      <w:spacing w:lineRule="auto" w:line="240" w:after="0"/>
      <w:rPr/>
    </w:pPr>
    <w:rPr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000000" w:val="clear"/>
      </w:tcPr>
    </w:tblStylePr>
    <w:tblStylePr w:type="band1Vert"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666666" w:themeColor="text1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single" w:color="666666" w:themeColor="text1" w:themeTint="99" w:sz="4"/>
        </w:tcBorders>
      </w:tcPr>
    </w:tblStylePr>
  </w:style>
  <w:style w:styleId="PO94" w:type="table">
    <w:name w:val="List Table 1 Light Accent 1"/>
    <w:basedOn w:val="PO3"/>
    <w:uiPriority w:val="46"/>
    <w:pPr>
      <w:spacing w:lineRule="auto" w:line="240" w:after="0"/>
      <w:rPr/>
    </w:pPr>
    <w:rPr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000000" w:val="clear"/>
      </w:tcPr>
    </w:tblStylePr>
    <w:tblStylePr w:type="band1Vert">
      <w:tcPr>
        <w:shd w:fill="DCE6F2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95B3D7" w:themeColor="accent1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single" w:color="95B3D7" w:themeColor="accent1" w:themeTint="99" w:sz="4"/>
        </w:tcBorders>
      </w:tcPr>
    </w:tblStylePr>
  </w:style>
  <w:style w:styleId="PO95" w:type="table">
    <w:name w:val="List Table 1 Light Accent 2"/>
    <w:basedOn w:val="PO3"/>
    <w:uiPriority w:val="46"/>
    <w:pPr>
      <w:spacing w:lineRule="auto" w:line="240" w:after="0"/>
      <w:rPr/>
    </w:pPr>
    <w:rPr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000000" w:val="clear"/>
      </w:tcPr>
    </w:tblStylePr>
    <w:tblStylePr w:type="band1Vert">
      <w:tcPr>
        <w:shd w:fill="F2DCDB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D99694" w:themeColor="accent2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single" w:color="D99694" w:themeColor="accent2" w:themeTint="99" w:sz="4"/>
        </w:tcBorders>
      </w:tcPr>
    </w:tblStylePr>
  </w:style>
  <w:style w:styleId="PO96" w:type="table">
    <w:name w:val="List Table 1 Light Accent 3"/>
    <w:basedOn w:val="PO3"/>
    <w:uiPriority w:val="46"/>
    <w:pPr>
      <w:spacing w:lineRule="auto" w:line="240" w:after="0"/>
      <w:rPr/>
    </w:pPr>
    <w:rPr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000000" w:val="clear"/>
      </w:tcPr>
    </w:tblStylePr>
    <w:tblStylePr w:type="band1Vert">
      <w:tcPr>
        <w:shd w:fill="EBF1DE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C3D69B" w:themeColor="accent3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single" w:color="C3D69B" w:themeColor="accent3" w:themeTint="99" w:sz="4"/>
        </w:tcBorders>
      </w:tcPr>
    </w:tblStylePr>
  </w:style>
  <w:style w:styleId="PO97" w:type="table">
    <w:name w:val="List Table 1 Light Accent 4"/>
    <w:basedOn w:val="PO3"/>
    <w:uiPriority w:val="46"/>
    <w:pPr>
      <w:spacing w:lineRule="auto" w:line="240" w:after="0"/>
      <w:rPr/>
    </w:pPr>
    <w:rPr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000000" w:val="clear"/>
      </w:tcPr>
    </w:tblStylePr>
    <w:tblStylePr w:type="band1Vert">
      <w:tcPr>
        <w:shd w:fill="E6E0E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B3A2C7" w:themeColor="accent4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single" w:color="B3A2C7" w:themeColor="accent4" w:themeTint="99" w:sz="4"/>
        </w:tcBorders>
      </w:tcPr>
    </w:tblStylePr>
  </w:style>
  <w:style w:styleId="PO98" w:type="table">
    <w:name w:val="List Table 1 Light Accent 5"/>
    <w:basedOn w:val="PO3"/>
    <w:uiPriority w:val="46"/>
    <w:pPr>
      <w:spacing w:lineRule="auto" w:line="240" w:after="0"/>
      <w:rPr/>
    </w:pPr>
    <w:rPr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000000" w:val="clear"/>
      </w:tcPr>
    </w:tblStylePr>
    <w:tblStylePr w:type="band1Vert">
      <w:tcPr>
        <w:shd w:fill="DBEEF4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93CDDD" w:themeColor="accent5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single" w:color="93CDDD" w:themeColor="accent5" w:themeTint="99" w:sz="4"/>
        </w:tcBorders>
      </w:tcPr>
    </w:tblStylePr>
  </w:style>
  <w:style w:styleId="PO99" w:type="table">
    <w:name w:val="List Table 1 Light Accent 6"/>
    <w:basedOn w:val="PO3"/>
    <w:uiPriority w:val="46"/>
    <w:pPr>
      <w:spacing w:lineRule="auto" w:line="240" w:after="0"/>
      <w:rPr/>
    </w:pPr>
    <w:rPr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000000" w:val="clear"/>
      </w:tcPr>
    </w:tblStylePr>
    <w:tblStylePr w:type="band1Vert">
      <w:tcPr>
        <w:shd w:fill="FDEADA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FAC090" w:themeColor="accent6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single" w:color="FAC090" w:themeColor="accent6" w:themeTint="99" w:sz="4"/>
        </w:tcBorders>
      </w:tcPr>
    </w:tblStylePr>
  </w:style>
  <w:style w:styleId="PO100" w:type="table">
    <w:name w:val="List Table 2"/>
    <w:basedOn w:val="PO3"/>
    <w:uiPriority w:val="47"/>
    <w:pPr>
      <w:spacing w:lineRule="auto" w:line="240" w:after="0"/>
      <w:rPr/>
    </w:pPr>
    <w:rPr>
      <w:shd w:val="clear" w:color="auto" w:fill="auto"/>
    </w:rPr>
    <w:tblPr>
      <w:tblBorders>
        <w:bottom w:val="single" w:color="666666" w:themeColor="text1" w:themeTint="99" w:sz="4"/>
        <w:insideH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000000" w:val="clear"/>
      </w:tcPr>
    </w:tblStylePr>
    <w:tblStylePr w:type="band1Vert"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styleId="PO101" w:type="table">
    <w:name w:val="List Table 2 Accent 1"/>
    <w:basedOn w:val="PO3"/>
    <w:uiPriority w:val="47"/>
    <w:pPr>
      <w:spacing w:lineRule="auto" w:line="240" w:after="0"/>
      <w:rPr/>
    </w:pPr>
    <w:rPr>
      <w:shd w:val="clear" w:color="auto" w:fill="auto"/>
    </w:rPr>
    <w:tblPr>
      <w:tblBorders>
        <w:bottom w:val="single" w:color="95B3D7" w:themeColor="accent1" w:themeTint="99" w:sz="4"/>
        <w:insideH w:val="single" w:color="95B3D7" w:themeColor="accent1" w:themeTint="99" w:sz="4"/>
        <w:top w:val="single" w:color="95B3D7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000000" w:val="clear"/>
      </w:tcPr>
    </w:tblStylePr>
    <w:tblStylePr w:type="band1Vert">
      <w:tcPr>
        <w:shd w:fill="DCE6F2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styleId="PO102" w:type="table">
    <w:name w:val="List Table 2 Accent 2"/>
    <w:basedOn w:val="PO3"/>
    <w:uiPriority w:val="47"/>
    <w:pPr>
      <w:spacing w:lineRule="auto" w:line="240" w:after="0"/>
      <w:rPr/>
    </w:pPr>
    <w:rPr>
      <w:shd w:val="clear" w:color="auto" w:fill="auto"/>
    </w:rPr>
    <w:tblPr>
      <w:tblBorders>
        <w:bottom w:val="single" w:color="D99694" w:themeColor="accent2" w:themeTint="99" w:sz="4"/>
        <w:insideH w:val="single" w:color="D99694" w:themeColor="accent2" w:themeTint="99" w:sz="4"/>
        <w:top w:val="single" w:color="D99694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000000" w:val="clear"/>
      </w:tcPr>
    </w:tblStylePr>
    <w:tblStylePr w:type="band1Vert">
      <w:tcPr>
        <w:shd w:fill="F2DCDB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styleId="PO103" w:type="table">
    <w:name w:val="List Table 2 Accent 3"/>
    <w:basedOn w:val="PO3"/>
    <w:uiPriority w:val="47"/>
    <w:pPr>
      <w:spacing w:lineRule="auto" w:line="240" w:after="0"/>
      <w:rPr/>
    </w:pPr>
    <w:rPr>
      <w:shd w:val="clear" w:color="auto" w:fill="auto"/>
    </w:rPr>
    <w:tblPr>
      <w:tblBorders>
        <w:bottom w:val="single" w:color="C3D69B" w:themeColor="accent3" w:themeTint="99" w:sz="4"/>
        <w:insideH w:val="single" w:color="C3D69B" w:themeColor="accent3" w:themeTint="99" w:sz="4"/>
        <w:top w:val="single" w:color="C3D69B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000000" w:val="clear"/>
      </w:tcPr>
    </w:tblStylePr>
    <w:tblStylePr w:type="band1Vert">
      <w:tcPr>
        <w:shd w:fill="EBF1DE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styleId="PO104" w:type="table">
    <w:name w:val="List Table 2 Accent 4"/>
    <w:basedOn w:val="PO3"/>
    <w:uiPriority w:val="47"/>
    <w:pPr>
      <w:spacing w:lineRule="auto" w:line="240" w:after="0"/>
      <w:rPr/>
    </w:pPr>
    <w:rPr>
      <w:shd w:val="clear" w:color="auto" w:fill="auto"/>
    </w:rPr>
    <w:tblPr>
      <w:tblBorders>
        <w:bottom w:val="single" w:color="B3A2C7" w:themeColor="accent4" w:themeTint="99" w:sz="4"/>
        <w:insideH w:val="single" w:color="B3A2C7" w:themeColor="accent4" w:themeTint="99" w:sz="4"/>
        <w:top w:val="single" w:color="B3A2C7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000000" w:val="clear"/>
      </w:tcPr>
    </w:tblStylePr>
    <w:tblStylePr w:type="band1Vert">
      <w:tcPr>
        <w:shd w:fill="E6E0E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styleId="PO105" w:type="table">
    <w:name w:val="List Table 2 Accent 5"/>
    <w:basedOn w:val="PO3"/>
    <w:uiPriority w:val="47"/>
    <w:pPr>
      <w:spacing w:lineRule="auto" w:line="240" w:after="0"/>
      <w:rPr/>
    </w:pPr>
    <w:rPr>
      <w:shd w:val="clear" w:color="auto" w:fill="auto"/>
    </w:rPr>
    <w:tblPr>
      <w:tblBorders>
        <w:bottom w:val="single" w:color="93CDDD" w:themeColor="accent5" w:themeTint="99" w:sz="4"/>
        <w:insideH w:val="single" w:color="93CDDD" w:themeColor="accent5" w:themeTint="99" w:sz="4"/>
        <w:top w:val="single" w:color="93CDDD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000000" w:val="clear"/>
      </w:tcPr>
    </w:tblStylePr>
    <w:tblStylePr w:type="band1Vert">
      <w:tcPr>
        <w:shd w:fill="DBEEF4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styleId="PO106" w:type="table">
    <w:name w:val="List Table 2 Accent 6"/>
    <w:basedOn w:val="PO3"/>
    <w:uiPriority w:val="47"/>
    <w:pPr>
      <w:spacing w:lineRule="auto" w:line="240" w:after="0"/>
      <w:rPr/>
    </w:pPr>
    <w:rPr>
      <w:shd w:val="clear" w:color="auto" w:fill="auto"/>
    </w:rPr>
    <w:tblPr>
      <w:tblBorders>
        <w:bottom w:val="single" w:color="FAC090" w:themeColor="accent6" w:themeTint="99" w:sz="4"/>
        <w:insideH w:val="single" w:color="FAC090" w:themeColor="accent6" w:themeTint="99" w:sz="4"/>
        <w:top w:val="single" w:color="FAC090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000000" w:val="clear"/>
      </w:tcPr>
    </w:tblStylePr>
    <w:tblStylePr w:type="band1Vert">
      <w:tcPr>
        <w:shd w:fill="FDEADA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styleId="PO107" w:type="table">
    <w:name w:val="List Table 3"/>
    <w:basedOn w:val="PO3"/>
    <w:uiPriority w:val="48"/>
    <w:pPr>
      <w:spacing w:lineRule="auto" w:line="240" w:after="0"/>
      <w:rPr/>
    </w:pPr>
    <w:rPr>
      <w:shd w:val="clear" w:color="auto" w:fill="auto"/>
    </w:rPr>
    <w:tblPr>
      <w:tblBorders>
        <w:bottom w:val="single" w:color="000000" w:themeColor="text1" w:sz="4"/>
        <w:left w:val="single" w:color="000000" w:themeColor="text1" w:sz="4"/>
        <w:right w:val="single" w:color="000000" w:themeColor="text1" w:sz="4"/>
        <w:top w:val="single" w:color="000000" w:themeColor="text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000000" w:themeColor="text1" w:sz="4"/>
          <w:insideH w:val="nil"/>
          <w:top w:val="single" w:color="000000" w:themeColor="text1" w:sz="4"/>
        </w:tcBorders>
      </w:tcPr>
    </w:tblStylePr>
    <w:tblStylePr w:type="band1Vert">
      <w:tcPr>
        <w:tcBorders>
          <w:left w:val="single" w:color="000000" w:themeColor="text1" w:sz="4"/>
          <w:right w:val="single" w:color="000000" w:themeColor="text1" w:sz="4"/>
        </w:tcBorders>
      </w:tcPr>
    </w:tblStylePr>
    <w:tblStylePr w:type="firstCol">
      <w:rPr>
        <w:b w:val="1"/>
        <w:shd w:val="clear" w:color="auto" w:fill="auto"/>
      </w:rPr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cPr>
        <w:shd w:fill="000000" w:themeFill="text1" w:color="000000" w:val="clear"/>
      </w:tcPr>
    </w:tblStylePr>
    <w:tblStylePr w:type="lastCol">
      <w:rPr>
        <w:b w:val="1"/>
        <w:shd w:val="clear" w:color="auto" w:fill="auto"/>
      </w:rPr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top w:val="double" w:color="000000" w:themeColor="text1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000000" w:themeColor="text1" w:sz="4"/>
        </w:tcBorders>
      </w:tcPr>
    </w:tblStylePr>
    <w:tblStylePr w:type="swCell">
      <w:tcPr>
        <w:tcBorders>
          <w:right w:val="nil"/>
          <w:top w:val="double" w:color="000000" w:themeColor="text1" w:sz="4"/>
        </w:tcBorders>
      </w:tcPr>
    </w:tblStylePr>
  </w:style>
  <w:style w:styleId="PO108" w:type="table">
    <w:name w:val="List Table 3 Accent 1"/>
    <w:basedOn w:val="PO3"/>
    <w:uiPriority w:val="48"/>
    <w:pPr>
      <w:spacing w:lineRule="auto" w:line="240" w:after="0"/>
      <w:rPr/>
    </w:pPr>
    <w:rPr>
      <w:shd w:val="clear" w:color="auto" w:fill="auto"/>
    </w:rPr>
    <w:tblPr>
      <w:tblBorders>
        <w:bottom w:val="single" w:color="4F81BD" w:themeColor="accent1" w:sz="4"/>
        <w:left w:val="single" w:color="4F81BD" w:themeColor="accent1" w:sz="4"/>
        <w:right w:val="single" w:color="4F81BD" w:themeColor="accent1" w:sz="4"/>
        <w:top w:val="single" w:color="4F81BD" w:themeColor="accent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4F81BD" w:themeColor="accent1" w:sz="4"/>
          <w:insideH w:val="nil"/>
          <w:top w:val="single" w:color="4F81BD" w:themeColor="accent1" w:sz="4"/>
        </w:tcBorders>
      </w:tcPr>
    </w:tblStylePr>
    <w:tblStylePr w:type="band1Vert">
      <w:tcPr>
        <w:tcBorders>
          <w:left w:val="single" w:color="4F81BD" w:themeColor="accent1" w:sz="4"/>
          <w:right w:val="single" w:color="4F81BD" w:themeColor="accent1" w:sz="4"/>
        </w:tcBorders>
      </w:tcPr>
    </w:tblStylePr>
    <w:tblStylePr w:type="firstCol">
      <w:rPr>
        <w:b w:val="1"/>
        <w:shd w:val="clear" w:color="auto" w:fill="auto"/>
      </w:rPr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cPr>
        <w:shd w:fill="4F81BD" w:themeFill="accent1" w:color="000000" w:val="clear"/>
      </w:tcPr>
    </w:tblStylePr>
    <w:tblStylePr w:type="lastCol">
      <w:rPr>
        <w:b w:val="1"/>
        <w:shd w:val="clear" w:color="auto" w:fill="auto"/>
      </w:rPr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top w:val="double" w:color="4F81BD" w:themeColor="accent1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4F81BD" w:themeColor="accent1" w:sz="4"/>
        </w:tcBorders>
      </w:tcPr>
    </w:tblStylePr>
    <w:tblStylePr w:type="swCell">
      <w:tcPr>
        <w:tcBorders>
          <w:right w:val="nil"/>
          <w:top w:val="double" w:color="4F81BD" w:themeColor="accent1" w:sz="4"/>
        </w:tcBorders>
      </w:tcPr>
    </w:tblStylePr>
  </w:style>
  <w:style w:styleId="PO109" w:type="table">
    <w:name w:val="List Table 3 Accent 2"/>
    <w:basedOn w:val="PO3"/>
    <w:uiPriority w:val="48"/>
    <w:pPr>
      <w:spacing w:lineRule="auto" w:line="240" w:after="0"/>
      <w:rPr/>
    </w:pPr>
    <w:rPr>
      <w:shd w:val="clear" w:color="auto" w:fill="auto"/>
    </w:rPr>
    <w:tblPr>
      <w:tblBorders>
        <w:bottom w:val="single" w:color="C0504D" w:themeColor="accent2" w:sz="4"/>
        <w:left w:val="single" w:color="C0504D" w:themeColor="accent2" w:sz="4"/>
        <w:right w:val="single" w:color="C0504D" w:themeColor="accent2" w:sz="4"/>
        <w:top w:val="single" w:color="C0504D" w:themeColor="accent2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C0504D" w:themeColor="accent2" w:sz="4"/>
          <w:insideH w:val="nil"/>
          <w:top w:val="single" w:color="C0504D" w:themeColor="accent2" w:sz="4"/>
        </w:tcBorders>
      </w:tcPr>
    </w:tblStylePr>
    <w:tblStylePr w:type="band1Vert">
      <w:tcPr>
        <w:tcBorders>
          <w:left w:val="single" w:color="C0504D" w:themeColor="accent2" w:sz="4"/>
          <w:right w:val="single" w:color="C0504D" w:themeColor="accent2" w:sz="4"/>
        </w:tcBorders>
      </w:tcPr>
    </w:tblStylePr>
    <w:tblStylePr w:type="firstCol">
      <w:rPr>
        <w:b w:val="1"/>
        <w:shd w:val="clear" w:color="auto" w:fill="auto"/>
      </w:rPr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cPr>
        <w:shd w:fill="C0504D" w:themeFill="accent2" w:color="000000" w:val="clear"/>
      </w:tcPr>
    </w:tblStylePr>
    <w:tblStylePr w:type="lastCol">
      <w:rPr>
        <w:b w:val="1"/>
        <w:shd w:val="clear" w:color="auto" w:fill="auto"/>
      </w:rPr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top w:val="double" w:color="C0504D" w:themeColor="accent2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C0504D" w:themeColor="accent2" w:sz="4"/>
        </w:tcBorders>
      </w:tcPr>
    </w:tblStylePr>
    <w:tblStylePr w:type="swCell">
      <w:tcPr>
        <w:tcBorders>
          <w:right w:val="nil"/>
          <w:top w:val="double" w:color="C0504D" w:themeColor="accent2" w:sz="4"/>
        </w:tcBorders>
      </w:tcPr>
    </w:tblStylePr>
  </w:style>
  <w:style w:styleId="PO110" w:type="table">
    <w:name w:val="List Table 3 Accent 3"/>
    <w:basedOn w:val="PO3"/>
    <w:uiPriority w:val="48"/>
    <w:pPr>
      <w:spacing w:lineRule="auto" w:line="240" w:after="0"/>
      <w:rPr/>
    </w:pPr>
    <w:rPr>
      <w:shd w:val="clear" w:color="auto" w:fill="auto"/>
    </w:rPr>
    <w:tblPr>
      <w:tblBorders>
        <w:bottom w:val="single" w:color="9BBB59" w:themeColor="accent3" w:sz="4"/>
        <w:left w:val="single" w:color="9BBB59" w:themeColor="accent3" w:sz="4"/>
        <w:right w:val="single" w:color="9BBB59" w:themeColor="accent3" w:sz="4"/>
        <w:top w:val="single" w:color="9BBB59" w:themeColor="accent3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9BBB59" w:themeColor="accent3" w:sz="4"/>
          <w:insideH w:val="nil"/>
          <w:top w:val="single" w:color="9BBB59" w:themeColor="accent3" w:sz="4"/>
        </w:tcBorders>
      </w:tcPr>
    </w:tblStylePr>
    <w:tblStylePr w:type="band1Vert">
      <w:tcPr>
        <w:tcBorders>
          <w:left w:val="single" w:color="9BBB59" w:themeColor="accent3" w:sz="4"/>
          <w:right w:val="single" w:color="9BBB59" w:themeColor="accent3" w:sz="4"/>
        </w:tcBorders>
      </w:tcPr>
    </w:tblStylePr>
    <w:tblStylePr w:type="firstCol">
      <w:rPr>
        <w:b w:val="1"/>
        <w:shd w:val="clear" w:color="auto" w:fill="auto"/>
      </w:rPr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cPr>
        <w:shd w:fill="9BBB59" w:themeFill="accent3" w:color="000000" w:val="clear"/>
      </w:tcPr>
    </w:tblStylePr>
    <w:tblStylePr w:type="lastCol">
      <w:rPr>
        <w:b w:val="1"/>
        <w:shd w:val="clear" w:color="auto" w:fill="auto"/>
      </w:rPr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top w:val="double" w:color="9BBB59" w:themeColor="accent3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9BBB59" w:themeColor="accent3" w:sz="4"/>
        </w:tcBorders>
      </w:tcPr>
    </w:tblStylePr>
    <w:tblStylePr w:type="swCell">
      <w:tcPr>
        <w:tcBorders>
          <w:right w:val="nil"/>
          <w:top w:val="double" w:color="9BBB59" w:themeColor="accent3" w:sz="4"/>
        </w:tcBorders>
      </w:tcPr>
    </w:tblStylePr>
  </w:style>
  <w:style w:styleId="PO111" w:type="table">
    <w:name w:val="List Table 3 Accent 4"/>
    <w:basedOn w:val="PO3"/>
    <w:uiPriority w:val="48"/>
    <w:pPr>
      <w:spacing w:lineRule="auto" w:line="240" w:after="0"/>
      <w:rPr/>
    </w:pPr>
    <w:rPr>
      <w:shd w:val="clear" w:color="auto" w:fill="auto"/>
    </w:rPr>
    <w:tblPr>
      <w:tblBorders>
        <w:bottom w:val="single" w:color="8064A2" w:themeColor="accent4" w:sz="4"/>
        <w:left w:val="single" w:color="8064A2" w:themeColor="accent4" w:sz="4"/>
        <w:right w:val="single" w:color="8064A2" w:themeColor="accent4" w:sz="4"/>
        <w:top w:val="single" w:color="8064A2" w:themeColor="accent4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8064A2" w:themeColor="accent4" w:sz="4"/>
          <w:insideH w:val="nil"/>
          <w:top w:val="single" w:color="8064A2" w:themeColor="accent4" w:sz="4"/>
        </w:tcBorders>
      </w:tcPr>
    </w:tblStylePr>
    <w:tblStylePr w:type="band1Vert">
      <w:tcPr>
        <w:tcBorders>
          <w:left w:val="single" w:color="8064A2" w:themeColor="accent4" w:sz="4"/>
          <w:right w:val="single" w:color="8064A2" w:themeColor="accent4" w:sz="4"/>
        </w:tcBorders>
      </w:tcPr>
    </w:tblStylePr>
    <w:tblStylePr w:type="firstCol">
      <w:rPr>
        <w:b w:val="1"/>
        <w:shd w:val="clear" w:color="auto" w:fill="auto"/>
      </w:rPr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cPr>
        <w:shd w:fill="8064A2" w:themeFill="accent4" w:color="000000" w:val="clear"/>
      </w:tcPr>
    </w:tblStylePr>
    <w:tblStylePr w:type="lastCol">
      <w:rPr>
        <w:b w:val="1"/>
        <w:shd w:val="clear" w:color="auto" w:fill="auto"/>
      </w:rPr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top w:val="double" w:color="8064A2" w:themeColor="accent4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8064A2" w:themeColor="accent4" w:sz="4"/>
        </w:tcBorders>
      </w:tcPr>
    </w:tblStylePr>
    <w:tblStylePr w:type="swCell">
      <w:tcPr>
        <w:tcBorders>
          <w:right w:val="nil"/>
          <w:top w:val="double" w:color="8064A2" w:themeColor="accent4" w:sz="4"/>
        </w:tcBorders>
      </w:tcPr>
    </w:tblStylePr>
  </w:style>
  <w:style w:styleId="PO112" w:type="table">
    <w:name w:val="List Table 3 Accent 5"/>
    <w:basedOn w:val="PO3"/>
    <w:uiPriority w:val="48"/>
    <w:pPr>
      <w:spacing w:lineRule="auto" w:line="240" w:after="0"/>
      <w:rPr/>
    </w:pPr>
    <w:rPr>
      <w:shd w:val="clear" w:color="auto" w:fill="auto"/>
    </w:rPr>
    <w:tblPr>
      <w:tblBorders>
        <w:bottom w:val="single" w:color="4BACC6" w:themeColor="accent5" w:sz="4"/>
        <w:left w:val="single" w:color="4BACC6" w:themeColor="accent5" w:sz="4"/>
        <w:right w:val="single" w:color="4BACC6" w:themeColor="accent5" w:sz="4"/>
        <w:top w:val="single" w:color="4BACC6" w:themeColor="accent5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4BACC6" w:themeColor="accent5" w:sz="4"/>
          <w:insideH w:val="nil"/>
          <w:top w:val="single" w:color="4BACC6" w:themeColor="accent5" w:sz="4"/>
        </w:tcBorders>
      </w:tcPr>
    </w:tblStylePr>
    <w:tblStylePr w:type="band1Vert">
      <w:tcPr>
        <w:tcBorders>
          <w:left w:val="single" w:color="4BACC6" w:themeColor="accent5" w:sz="4"/>
          <w:right w:val="single" w:color="4BACC6" w:themeColor="accent5" w:sz="4"/>
        </w:tcBorders>
      </w:tcPr>
    </w:tblStylePr>
    <w:tblStylePr w:type="firstCol">
      <w:rPr>
        <w:b w:val="1"/>
        <w:shd w:val="clear" w:color="auto" w:fill="auto"/>
      </w:rPr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cPr>
        <w:shd w:fill="4BACC6" w:themeFill="accent5" w:color="000000" w:val="clear"/>
      </w:tcPr>
    </w:tblStylePr>
    <w:tblStylePr w:type="lastCol">
      <w:rPr>
        <w:b w:val="1"/>
        <w:shd w:val="clear" w:color="auto" w:fill="auto"/>
      </w:rPr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top w:val="double" w:color="4BACC6" w:themeColor="accent5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4BACC6" w:themeColor="accent5" w:sz="4"/>
        </w:tcBorders>
      </w:tcPr>
    </w:tblStylePr>
    <w:tblStylePr w:type="swCell">
      <w:tcPr>
        <w:tcBorders>
          <w:right w:val="nil"/>
          <w:top w:val="double" w:color="4BACC6" w:themeColor="accent5" w:sz="4"/>
        </w:tcBorders>
      </w:tcPr>
    </w:tblStylePr>
  </w:style>
  <w:style w:styleId="PO113" w:type="table">
    <w:name w:val="List Table 3 Accent 6"/>
    <w:basedOn w:val="PO3"/>
    <w:uiPriority w:val="48"/>
    <w:pPr>
      <w:spacing w:lineRule="auto" w:line="240" w:after="0"/>
      <w:rPr/>
    </w:pPr>
    <w:rPr>
      <w:shd w:val="clear" w:color="auto" w:fill="auto"/>
    </w:rPr>
    <w:tblPr>
      <w:tblBorders>
        <w:bottom w:val="single" w:color="F79646" w:themeColor="accent6" w:sz="4"/>
        <w:left w:val="single" w:color="F79646" w:themeColor="accent6" w:sz="4"/>
        <w:right w:val="single" w:color="F79646" w:themeColor="accent6" w:sz="4"/>
        <w:top w:val="single" w:color="F79646" w:themeColor="accent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F79646" w:themeColor="accent6" w:sz="4"/>
          <w:insideH w:val="nil"/>
          <w:top w:val="single" w:color="F79646" w:themeColor="accent6" w:sz="4"/>
        </w:tcBorders>
      </w:tcPr>
    </w:tblStylePr>
    <w:tblStylePr w:type="band1Vert">
      <w:tcPr>
        <w:tcBorders>
          <w:left w:val="single" w:color="F79646" w:themeColor="accent6" w:sz="4"/>
          <w:right w:val="single" w:color="F79646" w:themeColor="accent6" w:sz="4"/>
        </w:tcBorders>
      </w:tcPr>
    </w:tblStylePr>
    <w:tblStylePr w:type="firstCol">
      <w:rPr>
        <w:b w:val="1"/>
        <w:shd w:val="clear" w:color="auto" w:fill="auto"/>
      </w:rPr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cPr>
        <w:shd w:fill="F79646" w:themeFill="accent6" w:color="000000" w:val="clear"/>
      </w:tcPr>
    </w:tblStylePr>
    <w:tblStylePr w:type="lastCol">
      <w:rPr>
        <w:b w:val="1"/>
        <w:shd w:val="clear" w:color="auto" w:fill="auto"/>
      </w:rPr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cPr>
        <w:shd w:fill="FFFFFF" w:themeFill="background1" w:color="000000" w:val="clear"/>
        <w:tcBorders>
          <w:top w:val="double" w:color="F79646" w:themeColor="accent6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F79646" w:themeColor="accent6" w:sz="4"/>
        </w:tcBorders>
      </w:tcPr>
    </w:tblStylePr>
    <w:tblStylePr w:type="swCell">
      <w:tcPr>
        <w:tcBorders>
          <w:right w:val="nil"/>
          <w:top w:val="double" w:color="F79646" w:themeColor="accent6" w:sz="4"/>
        </w:tcBorders>
      </w:tcPr>
    </w:tblStylePr>
  </w:style>
  <w:style w:styleId="PO114" w:type="table">
    <w:name w:val="List Table 4"/>
    <w:basedOn w:val="PO3"/>
    <w:uiPriority w:val="49"/>
    <w:pPr>
      <w:spacing w:lineRule="auto" w:line="240" w:after="0"/>
      <w:rPr/>
    </w:pPr>
    <w:rPr>
      <w:shd w:val="clear" w:color="auto" w:fill="auto"/>
    </w:rPr>
    <w:tblPr>
      <w:tblBorders>
        <w:bottom w:val="single" w:color="666666" w:themeColor="text1" w:themeTint="99" w:sz="4"/>
        <w:insideH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000000" w:val="clear"/>
      </w:tcPr>
    </w:tblStylePr>
    <w:tblStylePr w:type="band1Vert"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cPr>
        <w:shd w:fill="000000" w:themeFill="text1" w:color="000000" w:val="clear"/>
        <w:tcBorders>
          <w:bottom w:val="single" w:color="000000" w:themeColor="text1" w:sz="4"/>
          <w:insideH w:val="nil"/>
          <w:left w:val="single" w:color="000000" w:themeColor="text1" w:sz="4"/>
          <w:right w:val="single" w:color="000000" w:themeColor="text1" w:sz="4"/>
          <w:top w:val="single" w:color="000000" w:themeColor="text1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666666" w:themeColor="text1" w:themeTint="99" w:sz="4"/>
        </w:tcBorders>
      </w:tcPr>
    </w:tblStylePr>
  </w:style>
  <w:style w:styleId="PO115" w:type="table">
    <w:name w:val="List Table 4 Accent 1"/>
    <w:basedOn w:val="PO3"/>
    <w:uiPriority w:val="49"/>
    <w:pPr>
      <w:spacing w:lineRule="auto" w:line="240" w:after="0"/>
      <w:rPr/>
    </w:pPr>
    <w:rPr>
      <w:shd w:val="clear" w:color="auto" w:fill="auto"/>
    </w:rPr>
    <w:tblPr>
      <w:tblBorders>
        <w:bottom w:val="single" w:color="95B3D7" w:themeColor="accent1" w:themeTint="99" w:sz="4"/>
        <w:insideH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000000" w:val="clear"/>
      </w:tcPr>
    </w:tblStylePr>
    <w:tblStylePr w:type="band1Vert">
      <w:tcPr>
        <w:shd w:fill="DCE6F2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cPr>
        <w:shd w:fill="4F81BD" w:themeFill="accent1" w:color="000000" w:val="clear"/>
        <w:tcBorders>
          <w:bottom w:val="single" w:color="4F81BD" w:themeColor="accent1" w:sz="4"/>
          <w:insideH w:val="nil"/>
          <w:left w:val="single" w:color="4F81BD" w:themeColor="accent1" w:sz="4"/>
          <w:right w:val="single" w:color="4F81BD" w:themeColor="accent1" w:sz="4"/>
          <w:top w:val="single" w:color="4F81BD" w:themeColor="accent1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95B3D7" w:themeColor="accent1" w:themeTint="99" w:sz="4"/>
        </w:tcBorders>
      </w:tcPr>
    </w:tblStylePr>
  </w:style>
  <w:style w:styleId="PO116" w:type="table">
    <w:name w:val="List Table 4 Accent 2"/>
    <w:basedOn w:val="PO3"/>
    <w:uiPriority w:val="49"/>
    <w:pPr>
      <w:spacing w:lineRule="auto" w:line="240" w:after="0"/>
      <w:rPr/>
    </w:pPr>
    <w:rPr>
      <w:shd w:val="clear" w:color="auto" w:fill="auto"/>
    </w:rPr>
    <w:tblPr>
      <w:tblBorders>
        <w:bottom w:val="single" w:color="D99694" w:themeColor="accent2" w:themeTint="99" w:sz="4"/>
        <w:insideH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000000" w:val="clear"/>
      </w:tcPr>
    </w:tblStylePr>
    <w:tblStylePr w:type="band1Vert">
      <w:tcPr>
        <w:shd w:fill="F2DCDB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cPr>
        <w:shd w:fill="C0504D" w:themeFill="accent2" w:color="000000" w:val="clear"/>
        <w:tcBorders>
          <w:bottom w:val="single" w:color="C0504D" w:themeColor="accent2" w:sz="4"/>
          <w:insideH w:val="nil"/>
          <w:left w:val="single" w:color="C0504D" w:themeColor="accent2" w:sz="4"/>
          <w:right w:val="single" w:color="C0504D" w:themeColor="accent2" w:sz="4"/>
          <w:top w:val="single" w:color="C0504D" w:themeColor="accent2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D99694" w:themeColor="accent2" w:themeTint="99" w:sz="4"/>
        </w:tcBorders>
      </w:tcPr>
    </w:tblStylePr>
  </w:style>
  <w:style w:styleId="PO117" w:type="table">
    <w:name w:val="List Table 4 Accent 3"/>
    <w:basedOn w:val="PO3"/>
    <w:uiPriority w:val="49"/>
    <w:pPr>
      <w:spacing w:lineRule="auto" w:line="240" w:after="0"/>
      <w:rPr/>
    </w:pPr>
    <w:rPr>
      <w:shd w:val="clear" w:color="auto" w:fill="auto"/>
    </w:rPr>
    <w:tblPr>
      <w:tblBorders>
        <w:bottom w:val="single" w:color="C3D69B" w:themeColor="accent3" w:themeTint="99" w:sz="4"/>
        <w:insideH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000000" w:val="clear"/>
      </w:tcPr>
    </w:tblStylePr>
    <w:tblStylePr w:type="band1Vert">
      <w:tcPr>
        <w:shd w:fill="EBF1DE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cPr>
        <w:shd w:fill="9BBB59" w:themeFill="accent3" w:color="000000" w:val="clear"/>
        <w:tcBorders>
          <w:bottom w:val="single" w:color="9BBB59" w:themeColor="accent3" w:sz="4"/>
          <w:insideH w:val="nil"/>
          <w:left w:val="single" w:color="9BBB59" w:themeColor="accent3" w:sz="4"/>
          <w:right w:val="single" w:color="9BBB59" w:themeColor="accent3" w:sz="4"/>
          <w:top w:val="single" w:color="9BBB59" w:themeColor="accent3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C3D69B" w:themeColor="accent3" w:themeTint="99" w:sz="4"/>
        </w:tcBorders>
      </w:tcPr>
    </w:tblStylePr>
  </w:style>
  <w:style w:styleId="PO118" w:type="table">
    <w:name w:val="List Table 4 Accent 4"/>
    <w:basedOn w:val="PO3"/>
    <w:uiPriority w:val="49"/>
    <w:pPr>
      <w:spacing w:lineRule="auto" w:line="240" w:after="0"/>
      <w:rPr/>
    </w:pPr>
    <w:rPr>
      <w:shd w:val="clear" w:color="auto" w:fill="auto"/>
    </w:rPr>
    <w:tblPr>
      <w:tblBorders>
        <w:bottom w:val="single" w:color="B3A2C7" w:themeColor="accent4" w:themeTint="99" w:sz="4"/>
        <w:insideH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000000" w:val="clear"/>
      </w:tcPr>
    </w:tblStylePr>
    <w:tblStylePr w:type="band1Vert">
      <w:tcPr>
        <w:shd w:fill="E6E0E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cPr>
        <w:shd w:fill="8064A2" w:themeFill="accent4" w:color="000000" w:val="clear"/>
        <w:tcBorders>
          <w:bottom w:val="single" w:color="8064A2" w:themeColor="accent4" w:sz="4"/>
          <w:insideH w:val="nil"/>
          <w:left w:val="single" w:color="8064A2" w:themeColor="accent4" w:sz="4"/>
          <w:right w:val="single" w:color="8064A2" w:themeColor="accent4" w:sz="4"/>
          <w:top w:val="single" w:color="8064A2" w:themeColor="accent4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B3A2C7" w:themeColor="accent4" w:themeTint="99" w:sz="4"/>
        </w:tcBorders>
      </w:tcPr>
    </w:tblStylePr>
  </w:style>
  <w:style w:styleId="PO119" w:type="table">
    <w:name w:val="List Table 4 Accent 5"/>
    <w:basedOn w:val="PO3"/>
    <w:uiPriority w:val="49"/>
    <w:pPr>
      <w:spacing w:lineRule="auto" w:line="240" w:after="0"/>
      <w:rPr/>
    </w:pPr>
    <w:rPr>
      <w:shd w:val="clear" w:color="auto" w:fill="auto"/>
    </w:rPr>
    <w:tblPr>
      <w:tblBorders>
        <w:bottom w:val="single" w:color="93CDDD" w:themeColor="accent5" w:themeTint="99" w:sz="4"/>
        <w:insideH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000000" w:val="clear"/>
      </w:tcPr>
    </w:tblStylePr>
    <w:tblStylePr w:type="band1Vert">
      <w:tcPr>
        <w:shd w:fill="DBEEF4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cPr>
        <w:shd w:fill="4BACC6" w:themeFill="accent5" w:color="000000" w:val="clear"/>
        <w:tcBorders>
          <w:bottom w:val="single" w:color="4BACC6" w:themeColor="accent5" w:sz="4"/>
          <w:insideH w:val="nil"/>
          <w:left w:val="single" w:color="4BACC6" w:themeColor="accent5" w:sz="4"/>
          <w:right w:val="single" w:color="4BACC6" w:themeColor="accent5" w:sz="4"/>
          <w:top w:val="single" w:color="4BACC6" w:themeColor="accent5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93CDDD" w:themeColor="accent5" w:themeTint="99" w:sz="4"/>
        </w:tcBorders>
      </w:tcPr>
    </w:tblStylePr>
  </w:style>
  <w:style w:styleId="PO120" w:type="table">
    <w:name w:val="List Table 4 Accent 6"/>
    <w:basedOn w:val="PO3"/>
    <w:uiPriority w:val="49"/>
    <w:pPr>
      <w:spacing w:lineRule="auto" w:line="240" w:after="0"/>
      <w:rPr/>
    </w:pPr>
    <w:rPr>
      <w:shd w:val="clear" w:color="auto" w:fill="auto"/>
    </w:rPr>
    <w:tblPr>
      <w:tblBorders>
        <w:bottom w:val="single" w:color="FAC090" w:themeColor="accent6" w:themeTint="99" w:sz="4"/>
        <w:insideH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000000" w:val="clear"/>
      </w:tcPr>
    </w:tblStylePr>
    <w:tblStylePr w:type="band1Vert">
      <w:tcPr>
        <w:shd w:fill="FDEADA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cPr>
        <w:shd w:fill="F79646" w:themeFill="accent6" w:color="000000" w:val="clear"/>
        <w:tcBorders>
          <w:bottom w:val="single" w:color="F79646" w:themeColor="accent6" w:sz="4"/>
          <w:insideH w:val="nil"/>
          <w:left w:val="single" w:color="F79646" w:themeColor="accent6" w:sz="4"/>
          <w:right w:val="single" w:color="F79646" w:themeColor="accent6" w:sz="4"/>
          <w:top w:val="single" w:color="F79646" w:themeColor="accent6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FAC090" w:themeColor="accent6" w:themeTint="99" w:sz="4"/>
        </w:tcBorders>
      </w:tcPr>
    </w:tblStylePr>
  </w:style>
  <w:style w:styleId="PO121" w:type="table">
    <w:name w:val="List Table 5"/>
    <w:basedOn w:val="PO3"/>
    <w:pPr>
      <w:spacing w:lineRule="auto" w:line="240" w:after="0"/>
      <w:rPr/>
    </w:pPr>
    <w:rPr>
      <w:color w:val="FFFFFF" w:themeColor="background1"/>
      <w:shd w:val="clear" w:color="auto" w:fill="auto"/>
    </w:rPr>
    <w:tblPr>
      <w:tblBorders>
        <w:bottom w:val="single" w:color="000000" w:themeColor="text1" w:sz="24"/>
        <w:left w:val="single" w:color="000000" w:themeColor="text1" w:sz="24"/>
        <w:right w:val="single" w:color="000000" w:themeColor="text1" w:sz="24"/>
        <w:top w:val="single" w:color="000000" w:themeColor="text1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000000" w:themeFill="text1" w:color="000000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2" w:type="table">
    <w:name w:val="List Table 5 Accent 1"/>
    <w:basedOn w:val="PO3"/>
    <w:pPr>
      <w:spacing w:lineRule="auto" w:line="240" w:after="0"/>
      <w:rPr/>
    </w:pPr>
    <w:rPr>
      <w:color w:val="FFFFFF" w:themeColor="background1"/>
      <w:shd w:val="clear" w:color="auto" w:fill="auto"/>
    </w:rPr>
    <w:tblPr>
      <w:tblBorders>
        <w:bottom w:val="single" w:color="4F81BD" w:themeColor="accent1" w:sz="24"/>
        <w:left w:val="single" w:color="4F81BD" w:themeColor="accent1" w:sz="24"/>
        <w:right w:val="single" w:color="4F81BD" w:themeColor="accent1" w:sz="24"/>
        <w:top w:val="single" w:color="4F81BD" w:themeColor="accent1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4F81BD" w:themeFill="accent1" w:color="000000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3" w:type="table">
    <w:name w:val="List Table 5 Accent 2"/>
    <w:basedOn w:val="PO3"/>
    <w:pPr>
      <w:spacing w:lineRule="auto" w:line="240" w:after="0"/>
      <w:rPr/>
    </w:pPr>
    <w:rPr>
      <w:color w:val="FFFFFF" w:themeColor="background1"/>
      <w:shd w:val="clear" w:color="auto" w:fill="auto"/>
    </w:rPr>
    <w:tblPr>
      <w:tblBorders>
        <w:bottom w:val="single" w:color="C0504D" w:themeColor="accent2" w:sz="24"/>
        <w:left w:val="single" w:color="C0504D" w:themeColor="accent2" w:sz="24"/>
        <w:right w:val="single" w:color="C0504D" w:themeColor="accent2" w:sz="24"/>
        <w:top w:val="single" w:color="C0504D" w:themeColor="accent2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C0504D" w:themeFill="accent2" w:color="000000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4" w:type="table">
    <w:name w:val="List Table 5 Accent 3"/>
    <w:basedOn w:val="PO3"/>
    <w:pPr>
      <w:spacing w:lineRule="auto" w:line="240" w:after="0"/>
      <w:rPr/>
    </w:pPr>
    <w:rPr>
      <w:color w:val="FFFFFF" w:themeColor="background1"/>
      <w:shd w:val="clear" w:color="auto" w:fill="auto"/>
    </w:rPr>
    <w:tblPr>
      <w:tblBorders>
        <w:bottom w:val="single" w:color="9BBB59" w:themeColor="accent3" w:sz="24"/>
        <w:left w:val="single" w:color="9BBB59" w:themeColor="accent3" w:sz="24"/>
        <w:right w:val="single" w:color="9BBB59" w:themeColor="accent3" w:sz="24"/>
        <w:top w:val="single" w:color="9BBB59" w:themeColor="accent3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9BBB59" w:themeFill="accent3" w:color="000000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5" w:type="table">
    <w:name w:val="List Table 5 Accent 4"/>
    <w:basedOn w:val="PO3"/>
    <w:pPr>
      <w:spacing w:lineRule="auto" w:line="240" w:after="0"/>
      <w:rPr/>
    </w:pPr>
    <w:rPr>
      <w:color w:val="FFFFFF" w:themeColor="background1"/>
      <w:shd w:val="clear" w:color="auto" w:fill="auto"/>
    </w:rPr>
    <w:tblPr>
      <w:tblBorders>
        <w:bottom w:val="single" w:color="8064A2" w:themeColor="accent4" w:sz="24"/>
        <w:left w:val="single" w:color="8064A2" w:themeColor="accent4" w:sz="24"/>
        <w:right w:val="single" w:color="8064A2" w:themeColor="accent4" w:sz="24"/>
        <w:top w:val="single" w:color="8064A2" w:themeColor="accent4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8064A2" w:themeFill="accent4" w:color="000000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6" w:type="table">
    <w:name w:val="List Table 5 Accent 5"/>
    <w:basedOn w:val="PO3"/>
    <w:pPr>
      <w:spacing w:lineRule="auto" w:line="240" w:after="0"/>
      <w:rPr/>
    </w:pPr>
    <w:rPr>
      <w:color w:val="FFFFFF" w:themeColor="background1"/>
      <w:shd w:val="clear" w:color="auto" w:fill="auto"/>
    </w:rPr>
    <w:tblPr>
      <w:tblBorders>
        <w:bottom w:val="single" w:color="4BACC6" w:themeColor="accent5" w:sz="24"/>
        <w:left w:val="single" w:color="4BACC6" w:themeColor="accent5" w:sz="24"/>
        <w:right w:val="single" w:color="4BACC6" w:themeColor="accent5" w:sz="24"/>
        <w:top w:val="single" w:color="4BACC6" w:themeColor="accent5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4BACC6" w:themeFill="accent5" w:color="000000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7" w:type="table">
    <w:name w:val="List Table 5 Accent 6"/>
    <w:basedOn w:val="PO3"/>
    <w:pPr>
      <w:spacing w:lineRule="auto" w:line="240" w:after="0"/>
      <w:rPr/>
    </w:pPr>
    <w:rPr>
      <w:color w:val="FFFFFF" w:themeColor="background1"/>
      <w:shd w:val="clear" w:color="auto" w:fill="auto"/>
    </w:rPr>
    <w:tblPr>
      <w:tblBorders>
        <w:bottom w:val="single" w:color="F79646" w:themeColor="accent6" w:sz="24"/>
        <w:left w:val="single" w:color="F79646" w:themeColor="accent6" w:sz="24"/>
        <w:right w:val="single" w:color="F79646" w:themeColor="accent6" w:sz="24"/>
        <w:top w:val="single" w:color="F79646" w:themeColor="accent6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F79646" w:themeFill="accent6" w:color="000000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8" w:type="table">
    <w:name w:val="List Table 6 Colorful"/>
    <w:basedOn w:val="PO3"/>
    <w:uiPriority w:val="51"/>
    <w:pPr>
      <w:spacing w:lineRule="auto" w:line="240" w:after="0"/>
      <w:rPr/>
    </w:pPr>
    <w:rPr>
      <w:color w:val="000000" w:themeColor="text1" w:themeShade="BE"/>
      <w:shd w:val="clear" w:color="auto" w:fill="auto"/>
    </w:rPr>
    <w:tblPr>
      <w:tblBorders>
        <w:bottom w:val="single" w:color="000000" w:themeColor="text1" w:sz="4"/>
        <w:top w:val="single" w:color="000000" w:themeColor="text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000000" w:val="clear"/>
      </w:tcPr>
    </w:tblStylePr>
    <w:tblStylePr w:type="band1Vert"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000000" w:themeColor="text1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000000" w:themeColor="text1" w:sz="4"/>
        </w:tcBorders>
      </w:tcPr>
    </w:tblStylePr>
  </w:style>
  <w:style w:styleId="PO129" w:type="table">
    <w:name w:val="List Table 6 Colorful Accent 1"/>
    <w:basedOn w:val="PO3"/>
    <w:uiPriority w:val="51"/>
    <w:pPr>
      <w:spacing w:lineRule="auto" w:line="240" w:after="0"/>
      <w:rPr/>
    </w:pPr>
    <w:rPr>
      <w:color w:val="365F91" w:themeColor="accent1" w:themeShade="BE"/>
      <w:shd w:val="clear" w:color="auto" w:fill="auto"/>
    </w:rPr>
    <w:tblPr>
      <w:tblBorders>
        <w:bottom w:val="single" w:color="4F81BD" w:themeColor="accent1" w:sz="4"/>
        <w:top w:val="single" w:color="4F81BD" w:themeColor="accent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000000" w:val="clear"/>
      </w:tcPr>
    </w:tblStylePr>
    <w:tblStylePr w:type="band1Vert">
      <w:tcPr>
        <w:shd w:fill="DCE6F2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4F81BD" w:themeColor="accent1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4F81BD" w:themeColor="accent1" w:sz="4"/>
        </w:tcBorders>
      </w:tcPr>
    </w:tblStylePr>
  </w:style>
  <w:style w:styleId="PO130" w:type="table">
    <w:name w:val="List Table 6 Colorful Accent 2"/>
    <w:basedOn w:val="PO3"/>
    <w:uiPriority w:val="51"/>
    <w:pPr>
      <w:spacing w:lineRule="auto" w:line="240" w:after="0"/>
      <w:rPr/>
    </w:pPr>
    <w:rPr>
      <w:color w:val="943634" w:themeColor="accent2" w:themeShade="BE"/>
      <w:shd w:val="clear" w:color="auto" w:fill="auto"/>
    </w:rPr>
    <w:tblPr>
      <w:tblBorders>
        <w:bottom w:val="single" w:color="C0504D" w:themeColor="accent2" w:sz="4"/>
        <w:top w:val="single" w:color="C0504D" w:themeColor="accent2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000000" w:val="clear"/>
      </w:tcPr>
    </w:tblStylePr>
    <w:tblStylePr w:type="band1Vert">
      <w:tcPr>
        <w:shd w:fill="F2DCDB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C0504D" w:themeColor="accent2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C0504D" w:themeColor="accent2" w:sz="4"/>
        </w:tcBorders>
      </w:tcPr>
    </w:tblStylePr>
  </w:style>
  <w:style w:styleId="PO131" w:type="table">
    <w:name w:val="List Table 6 Colorful Accent 3"/>
    <w:basedOn w:val="PO3"/>
    <w:uiPriority w:val="51"/>
    <w:pPr>
      <w:spacing w:lineRule="auto" w:line="240" w:after="0"/>
      <w:rPr/>
    </w:pPr>
    <w:rPr>
      <w:color w:val="75913B" w:themeColor="accent3" w:themeShade="BE"/>
      <w:shd w:val="clear" w:color="auto" w:fill="auto"/>
    </w:rPr>
    <w:tblPr>
      <w:tblBorders>
        <w:bottom w:val="single" w:color="9BBB59" w:themeColor="accent3" w:sz="4"/>
        <w:top w:val="single" w:color="9BBB59" w:themeColor="accent3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000000" w:val="clear"/>
      </w:tcPr>
    </w:tblStylePr>
    <w:tblStylePr w:type="band1Vert">
      <w:tcPr>
        <w:shd w:fill="EBF1DE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9BBB59" w:themeColor="accent3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9BBB59" w:themeColor="accent3" w:sz="4"/>
        </w:tcBorders>
      </w:tcPr>
    </w:tblStylePr>
  </w:style>
  <w:style w:styleId="PO132" w:type="table">
    <w:name w:val="List Table 6 Colorful Accent 4"/>
    <w:basedOn w:val="PO3"/>
    <w:uiPriority w:val="51"/>
    <w:pPr>
      <w:spacing w:lineRule="auto" w:line="240" w:after="0"/>
      <w:rPr/>
    </w:pPr>
    <w:rPr>
      <w:color w:val="5F497A" w:themeColor="accent4" w:themeShade="BE"/>
      <w:shd w:val="clear" w:color="auto" w:fill="auto"/>
    </w:rPr>
    <w:tblPr>
      <w:tblBorders>
        <w:bottom w:val="single" w:color="8064A2" w:themeColor="accent4" w:sz="4"/>
        <w:top w:val="single" w:color="8064A2" w:themeColor="accent4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000000" w:val="clear"/>
      </w:tcPr>
    </w:tblStylePr>
    <w:tblStylePr w:type="band1Vert">
      <w:tcPr>
        <w:shd w:fill="E6E0E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8064A2" w:themeColor="accent4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8064A2" w:themeColor="accent4" w:sz="4"/>
        </w:tcBorders>
      </w:tcPr>
    </w:tblStylePr>
  </w:style>
  <w:style w:styleId="PO133" w:type="table">
    <w:name w:val="List Table 6 Colorful Accent 5"/>
    <w:basedOn w:val="PO3"/>
    <w:uiPriority w:val="51"/>
    <w:pPr>
      <w:spacing w:lineRule="auto" w:line="240" w:after="0"/>
      <w:rPr/>
    </w:pPr>
    <w:rPr>
      <w:color w:val="30849A" w:themeColor="accent5" w:themeShade="BE"/>
      <w:shd w:val="clear" w:color="auto" w:fill="auto"/>
    </w:rPr>
    <w:tblPr>
      <w:tblBorders>
        <w:bottom w:val="single" w:color="4BACC6" w:themeColor="accent5" w:sz="4"/>
        <w:top w:val="single" w:color="4BACC6" w:themeColor="accent5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000000" w:val="clear"/>
      </w:tcPr>
    </w:tblStylePr>
    <w:tblStylePr w:type="band1Vert">
      <w:tcPr>
        <w:shd w:fill="DBEEF4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4BACC6" w:themeColor="accent5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4BACC6" w:themeColor="accent5" w:sz="4"/>
        </w:tcBorders>
      </w:tcPr>
    </w:tblStylePr>
  </w:style>
  <w:style w:styleId="PO134" w:type="table">
    <w:name w:val="List Table 6 Colorful Accent 6"/>
    <w:basedOn w:val="PO3"/>
    <w:uiPriority w:val="51"/>
    <w:pPr>
      <w:spacing w:lineRule="auto" w:line="240" w:after="0"/>
      <w:rPr/>
    </w:pPr>
    <w:rPr>
      <w:color w:val="E26B09" w:themeColor="accent6" w:themeShade="BE"/>
      <w:shd w:val="clear" w:color="auto" w:fill="auto"/>
    </w:rPr>
    <w:tblPr>
      <w:tblBorders>
        <w:bottom w:val="single" w:color="F79646" w:themeColor="accent6" w:sz="4"/>
        <w:top w:val="single" w:color="F79646" w:themeColor="accent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000000" w:val="clear"/>
      </w:tcPr>
    </w:tblStylePr>
    <w:tblStylePr w:type="band1Vert">
      <w:tcPr>
        <w:shd w:fill="FDEADA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cPr>
        <w:tcBorders>
          <w:bottom w:val="single" w:color="F79646" w:themeColor="accent6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cPr>
        <w:tcBorders>
          <w:top w:val="double" w:color="F79646" w:themeColor="accent6" w:sz="4"/>
        </w:tcBorders>
      </w:tcPr>
    </w:tblStylePr>
  </w:style>
  <w:style w:styleId="PO135" w:type="table">
    <w:name w:val="List Table 7 Colorful"/>
    <w:basedOn w:val="PO3"/>
    <w:uiPriority w:val="52"/>
    <w:pPr>
      <w:spacing w:lineRule="auto" w:line="240" w:after="0"/>
      <w:rPr/>
    </w:pPr>
    <w:rPr>
      <w:color w:val="000000" w:themeColor="text1" w:themeShade="BE"/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000000" w:val="clear"/>
      </w:tcPr>
    </w:tblStylePr>
    <w:tblStylePr w:type="band1Vert">
      <w:tcPr>
        <w:shd w:fill="CCCCCC" w:themeFill="text1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right w:val="single" w:color="000000" w:themeColor="text1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000000" w:themeColor="text1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left w:val="single" w:color="000000" w:themeColor="text1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top w:val="single" w:color="000000" w:themeColor="text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36" w:type="table">
    <w:name w:val="List Table 7 Colorful Accent 1"/>
    <w:basedOn w:val="PO3"/>
    <w:uiPriority w:val="52"/>
    <w:pPr>
      <w:spacing w:lineRule="auto" w:line="240" w:after="0"/>
      <w:rPr/>
    </w:pPr>
    <w:rPr>
      <w:color w:val="365F91" w:themeColor="accent1" w:themeShade="BE"/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000000" w:val="clear"/>
      </w:tcPr>
    </w:tblStylePr>
    <w:tblStylePr w:type="band1Vert">
      <w:tcPr>
        <w:shd w:fill="DCE6F2" w:themeFill="accent1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right w:val="single" w:color="4F81BD" w:themeColor="accent1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4F81BD" w:themeColor="accent1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left w:val="single" w:color="4F81BD" w:themeColor="accent1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top w:val="single" w:color="4F81BD" w:themeColor="accent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37" w:type="table">
    <w:name w:val="List Table 7 Colorful Accent 2"/>
    <w:basedOn w:val="PO3"/>
    <w:uiPriority w:val="52"/>
    <w:pPr>
      <w:spacing w:lineRule="auto" w:line="240" w:after="0"/>
      <w:rPr/>
    </w:pPr>
    <w:rPr>
      <w:color w:val="943634" w:themeColor="accent2" w:themeShade="BE"/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000000" w:val="clear"/>
      </w:tcPr>
    </w:tblStylePr>
    <w:tblStylePr w:type="band1Vert">
      <w:tcPr>
        <w:shd w:fill="F2DCDB" w:themeFill="accent2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right w:val="single" w:color="C0504D" w:themeColor="accent2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C0504D" w:themeColor="accent2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left w:val="single" w:color="C0504D" w:themeColor="accent2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top w:val="single" w:color="C0504D" w:themeColor="accent2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38" w:type="table">
    <w:name w:val="List Table 7 Colorful Accent 3"/>
    <w:basedOn w:val="PO3"/>
    <w:uiPriority w:val="52"/>
    <w:pPr>
      <w:spacing w:lineRule="auto" w:line="240" w:after="0"/>
      <w:rPr/>
    </w:pPr>
    <w:rPr>
      <w:color w:val="75913B" w:themeColor="accent3" w:themeShade="BE"/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000000" w:val="clear"/>
      </w:tcPr>
    </w:tblStylePr>
    <w:tblStylePr w:type="band1Vert">
      <w:tcPr>
        <w:shd w:fill="EBF1DE" w:themeFill="accent3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right w:val="single" w:color="9BBB59" w:themeColor="accent3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9BBB59" w:themeColor="accent3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left w:val="single" w:color="9BBB59" w:themeColor="accent3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top w:val="single" w:color="9BBB59" w:themeColor="accent3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39" w:type="table">
    <w:name w:val="List Table 7 Colorful Accent 4"/>
    <w:basedOn w:val="PO3"/>
    <w:uiPriority w:val="52"/>
    <w:pPr>
      <w:spacing w:lineRule="auto" w:line="240" w:after="0"/>
      <w:rPr/>
    </w:pPr>
    <w:rPr>
      <w:color w:val="5F497A" w:themeColor="accent4" w:themeShade="BE"/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000000" w:val="clear"/>
      </w:tcPr>
    </w:tblStylePr>
    <w:tblStylePr w:type="band1Vert">
      <w:tcPr>
        <w:shd w:fill="E6E0EC" w:themeFill="accent4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right w:val="single" w:color="8064A2" w:themeColor="accent4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8064A2" w:themeColor="accent4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left w:val="single" w:color="8064A2" w:themeColor="accent4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top w:val="single" w:color="8064A2" w:themeColor="accent4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40" w:type="table">
    <w:name w:val="List Table 7 Colorful Accent 5"/>
    <w:basedOn w:val="PO3"/>
    <w:uiPriority w:val="52"/>
    <w:pPr>
      <w:spacing w:lineRule="auto" w:line="240" w:after="0"/>
      <w:rPr/>
    </w:pPr>
    <w:rPr>
      <w:color w:val="30849A" w:themeColor="accent5" w:themeShade="BE"/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000000" w:val="clear"/>
      </w:tcPr>
    </w:tblStylePr>
    <w:tblStylePr w:type="band1Vert">
      <w:tcPr>
        <w:shd w:fill="DBEEF4" w:themeFill="accent5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right w:val="single" w:color="4BACC6" w:themeColor="accent5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4BACC6" w:themeColor="accent5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left w:val="single" w:color="4BACC6" w:themeColor="accent5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top w:val="single" w:color="4BACC6" w:themeColor="accent5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41" w:type="table">
    <w:name w:val="List Table 7 Colorful Accent 6"/>
    <w:basedOn w:val="PO3"/>
    <w:uiPriority w:val="52"/>
    <w:pPr>
      <w:spacing w:lineRule="auto" w:line="240" w:after="0"/>
      <w:rPr/>
    </w:pPr>
    <w:rPr>
      <w:color w:val="E26B09" w:themeColor="accent6" w:themeShade="BE"/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000000" w:val="clear"/>
      </w:tcPr>
    </w:tblStylePr>
    <w:tblStylePr w:type="band1Vert">
      <w:tcPr>
        <w:shd w:fill="FDEADA" w:themeFill="accent6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right w:val="single" w:color="F79646" w:themeColor="accent6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F79646" w:themeColor="accent6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left w:val="single" w:color="F79646" w:themeColor="accent6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cPr>
        <w:shd w:fill="FFFFFF" w:themeFill="background1" w:color="000000" w:val="clear"/>
        <w:tcBorders>
          <w:top w:val="single" w:color="F79646" w:themeColor="accent6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customStyle="1" w:styleId="PO142" w:type="table">
    <w:name w:val="Calendar1"/>
    <w:basedOn w:val="PO3"/>
    <w:pPr>
      <w:jc w:val="left"/>
      <w:spacing w:lineRule="auto" w:line="240" w:after="0"/>
      <w:rPr/>
    </w:pPr>
    <w:rPr>
      <w:sz w:val="22"/>
      <w:szCs w:val="22"/>
      <w:shd w:val="clear" w:color="auto" w:fill="auto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val="nil"/>
    </w:tcPr>
    <w:tblStylePr w:type="band1Horz">
      <w:tcPr>
        <w:shd w:val="nil"/>
        <w:tcBorders>
          <w:bottom w:val="nil"/>
          <w:insideH w:val="nil"/>
          <w:insideV w:val="nil"/>
          <w:left w:val="nil"/>
          <w:right w:val="nil"/>
          <w:top w:val="nil"/>
          <w:tl2br w:val="nil"/>
          <w:tr2bl w:val="nil"/>
        </w:tcBorders>
      </w:tcPr>
    </w:tblStylePr>
    <w:tblStylePr w:type="band2Horz">
      <w:tcPr>
        <w:shd w:val="nil"/>
        <w:tcBorders>
          <w:bottom w:val="single" w:color="000000" w:themeColor="text1" w:sz="24"/>
          <w:insideH w:val="nil"/>
          <w:insideV w:val="nil"/>
          <w:left w:val="nil"/>
          <w:right w:val="nil"/>
          <w:top w:val="single" w:color="000000" w:themeColor="text1" w:sz="24"/>
          <w:tl2br w:val="nil"/>
          <w:tr2bl w:val="nil"/>
        </w:tcBorders>
      </w:tcPr>
    </w:tblStylePr>
    <w:tblStylePr w:type="firstRow">
      <w:pPr>
        <w:spacing w:lineRule="auto" w:line="259"/>
        <w:rPr/>
      </w:pPr>
      <w:rPr>
        <w:i w:val="0"/>
        <w:b w:val="1"/>
        <w:color w:val="auto"/>
        <w:sz w:val="44"/>
        <w:szCs w:val="44"/>
        <w:shd w:val="clear" w:color="auto" w:fill="auto"/>
      </w:rPr>
      <w:tcPr>
        <w:vAlign w:val="bottom"/>
      </w:tcPr>
    </w:tblStylePr>
    <w:tblStylePr w:type="lastRow">
      <w:tcPr>
        <w:shd w:val="nil"/>
        <w:tcBorders>
          <w:bottom w:val="nil"/>
          <w:insideH w:val="nil"/>
          <w:insideV w:val="nil"/>
          <w:left w:val="nil"/>
          <w:right w:val="nil"/>
          <w:top w:val="nil"/>
          <w:tl2br w:val="nil"/>
          <w:tr2bl w:val="nil"/>
        </w:tcBorders>
      </w:tcPr>
    </w:tblStylePr>
  </w:style>
  <w:style w:styleId="PO151" w:type="paragraph">
    <w:name w:val="header"/>
    <w:basedOn w:val="PO1"/>
    <w:link w:val="PO152"/>
    <w:uiPriority w:val="99"/>
    <w:semiHidden/>
    <w:unhideWhenUsed/>
    <w:pPr>
      <w:tabs>
        <w:tab w:val="center" w:pos="4680"/>
        <w:tab w:val="right" w:pos="9360"/>
      </w:tabs>
      <w:rPr/>
    </w:pPr>
    <w:rPr>
      <w:shd w:val="clear" w:color="auto" w:fill="auto"/>
    </w:rPr>
  </w:style>
  <w:style w:customStyle="1" w:styleId="PO152" w:type="character">
    <w:name w:val="Header Char"/>
    <w:basedOn w:val="PO2"/>
    <w:link w:val="PO151"/>
    <w:uiPriority w:val="99"/>
    <w:semiHidden/>
  </w:style>
  <w:style w:styleId="PO153" w:type="paragraph">
    <w:name w:val="footer"/>
    <w:basedOn w:val="PO1"/>
    <w:link w:val="PO154"/>
    <w:uiPriority w:val="99"/>
    <w:unhideWhenUsed/>
    <w:pPr>
      <w:tabs>
        <w:tab w:val="center" w:pos="4680"/>
        <w:tab w:val="right" w:pos="9360"/>
      </w:tabs>
      <w:rPr/>
    </w:pPr>
    <w:rPr>
      <w:shd w:val="clear" w:color="auto" w:fill="auto"/>
    </w:rPr>
  </w:style>
  <w:style w:customStyle="1" w:styleId="PO154" w:type="character">
    <w:name w:val="Footer Char"/>
    <w:basedOn w:val="PO2"/>
    <w:link w:val="PO153"/>
    <w:uiPriority w:val="99"/>
  </w:style>
  <w:style w:styleId="PO155" w:type="character">
    <w:name w:val="Hyperlink"/>
    <w:basedOn w:val="PO2"/>
    <w:uiPriority w:val="99"/>
    <w:unhideWhenUsed/>
    <w:rPr>
      <w:color w:val="0000FF" w:themeColor="hyperlink"/>
      <w:u w:val="single"/>
      <w:shd w:val="clear" w:color="auto" w:fill="auto"/>
    </w:rPr>
  </w:style>
  <w:style w:styleId="PO156" w:type="paragraph">
    <w:name w:val="Balloon Text"/>
    <w:basedOn w:val="PO1"/>
    <w:link w:val="PO157"/>
    <w:uiPriority w:val="99"/>
    <w:semiHidden/>
    <w:unhideWhenUsed/>
    <w:rPr>
      <w:sz w:val="18"/>
      <w:szCs w:val="18"/>
      <w:shd w:val="clear" w:color="auto" w:fill="auto"/>
      <w:rFonts w:ascii="Segoe UI" w:hAnsi="Segoe UI" w:cs="Segoe UI"/>
    </w:rPr>
  </w:style>
  <w:style w:customStyle="1" w:styleId="PO157" w:type="character">
    <w:name w:val="Balloon Text Char"/>
    <w:basedOn w:val="PO2"/>
    <w:link w:val="PO156"/>
    <w:uiPriority w:val="99"/>
    <w:semiHidden/>
    <w:rPr>
      <w:sz w:val="18"/>
      <w:szCs w:val="18"/>
      <w:shd w:val="clear" w:color="auto" w:fill="auto"/>
      <w:rFonts w:ascii="Segoe UI" w:hAnsi="Segoe UI" w:cs="Segoe UI"/>
    </w:rPr>
  </w:style>
  <w:style w:styleId="PO158" w:type="paragraph">
    <w:name w:val="Normal (Web)"/>
    <w:basedOn w:val="PO1"/>
    <w:uiPriority w:val="99"/>
    <w:semiHidden/>
    <w:unhideWhenUsed/>
    <w:pPr>
      <w:spacing w:before="100" w:beforeAutospacing="1" w:after="100" w:afterAutospacing="1"/>
      <w:rPr/>
    </w:pPr>
    <w:rPr>
      <w:sz w:val="24"/>
      <w:szCs w:val="24"/>
      <w:shd w:val="clear" w:color="auto" w:fill="auto"/>
      <w:rFonts w:ascii="Times New Roman" w:eastAsia="Times New Roman" w:hAnsi="Times New Roman" w:cs="Times New Roman"/>
    </w:rPr>
  </w:style>
  <w:style w:customStyle="1" w:styleId="PO159" w:type="character">
    <w:name w:val="List Paragraph Char"/>
    <w:link w:val="PO26"/>
    <w:qFormat/>
    <w:uiPriority w:val="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styles" Target="styles.xml"></Relationship><Relationship Id="rId3" Type="http://schemas.openxmlformats.org/officeDocument/2006/relationships/webSettings" Target="webSettings.xml"></Relationship><Relationship Id="rId4" Type="http://schemas.openxmlformats.org/officeDocument/2006/relationships/fontTable" Target="fontTable.xml"></Relationship><Relationship Id="rId5" Type="http://schemas.openxmlformats.org/officeDocument/2006/relationships/image" Target="media/image1.jpeg"></Relationship><Relationship Id="rId6" Type="http://schemas.openxmlformats.org/officeDocument/2006/relationships/footer" Target="footer2.xml"></Relationship><Relationship Id="rId7" Type="http://schemas.openxmlformats.org/officeDocument/2006/relationships/numbering" Target="numbering.xml"></Relationship><Relationship Id="rId8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Polaris Office Word</Application>
  <AppVersion>12.000</AppVersion>
  <Characters>0</Characters>
  <CharactersWithSpaces>0</CharactersWithSpaces>
  <Company>Hewlett-Packard Company</Company>
  <DocSecurity>0</DocSecurity>
  <HyperlinksChanged>false</HyperlinksChanged>
  <Lines>317</Lines>
  <LinksUpToDate>false</LinksUpToDate>
  <Pages>22</Pages>
  <Paragraphs>89</Paragraphs>
  <Words>6681</Words>
  <TotalTime>0</TotalTime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admin-pc</dc:creator>
  <cp:lastModifiedBy>Dell</cp:lastModifiedBy>
  <cp:version>9.114.128.49613</cp:version>
  <dcterms:modified xsi:type="dcterms:W3CDTF">2023-11-23T08:27:00Z</dcterms:modified>
</cp:coreProperties>
</file>